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sz w:val="28"/>
          <w:highlight w:val="none"/>
          <w:lang w:val="en-US" w:eastAsia="zh-CN"/>
        </w:rPr>
        <w:t>附加旅行疾病身故</w:t>
      </w:r>
      <w:r>
        <w:rPr>
          <w:rFonts w:hint="eastAsia"/>
          <w:sz w:val="28"/>
          <w:highlight w:val="none"/>
        </w:rPr>
        <w:t>保险</w:t>
      </w:r>
      <w:r>
        <w:rPr>
          <w:rFonts w:hint="eastAsia"/>
          <w:sz w:val="28"/>
        </w:rPr>
        <w:t>（互联网</w:t>
      </w:r>
      <w:r>
        <w:rPr>
          <w:sz w:val="28"/>
        </w:rPr>
        <w:t>专属</w:t>
      </w:r>
      <w:r>
        <w:rPr>
          <w:rFonts w:hint="eastAsia"/>
          <w:sz w:val="28"/>
        </w:rPr>
        <w:t>）条款</w:t>
      </w:r>
    </w:p>
    <w:p>
      <w:pPr>
        <w:pStyle w:val="42"/>
        <w:spacing w:after="78" w:afterLines="25"/>
        <w:ind w:left="422" w:hanging="422" w:hangingChars="200"/>
        <w:jc w:val="center"/>
        <w:rPr>
          <w:rFonts w:ascii="黑体" w:hAnsi="黑体" w:eastAsia="黑体"/>
          <w:color w:val="000000" w:themeColor="text1"/>
          <w14:textFill>
            <w14:solidFill>
              <w14:schemeClr w14:val="tx1"/>
            </w14:solidFill>
          </w14:textFill>
        </w:rPr>
      </w:pPr>
    </w:p>
    <w:p>
      <w:pPr>
        <w:pStyle w:val="2"/>
        <w:numPr>
          <w:ilvl w:val="0"/>
          <w:numId w:val="1"/>
        </w:numPr>
        <w:rPr>
          <w:rFonts w:hint="eastAsia"/>
        </w:rPr>
      </w:pPr>
      <w:r>
        <w:rPr>
          <w:rFonts w:hint="eastAsia"/>
        </w:rPr>
        <w:t>总则</w:t>
      </w:r>
    </w:p>
    <w:p>
      <w:pPr>
        <w:keepNext/>
        <w:keepLines/>
        <w:tabs>
          <w:tab w:val="left" w:pos="851"/>
          <w:tab w:val="left" w:pos="993"/>
        </w:tabs>
        <w:outlineLvl w:val="0"/>
        <w:rPr>
          <w:rFonts w:hint="eastAsia" w:ascii="宋体" w:hAnsi="宋体" w:cs="宋体"/>
          <w:b/>
          <w:bCs/>
          <w:color w:val="000000"/>
          <w:szCs w:val="21"/>
        </w:rPr>
      </w:pPr>
      <w:r>
        <w:rPr>
          <w:rFonts w:hint="eastAsia" w:ascii="宋体" w:hAnsi="宋体" w:cs="宋体"/>
          <w:b/>
          <w:bCs/>
          <w:color w:val="000000"/>
          <w:szCs w:val="21"/>
        </w:rPr>
        <w:t xml:space="preserve">1.1      </w:t>
      </w:r>
      <w:r>
        <w:rPr>
          <w:rFonts w:hint="eastAsia" w:ascii="宋体" w:hAnsi="宋体" w:cs="宋体"/>
          <w:b/>
          <w:bCs/>
          <w:color w:val="000000"/>
          <w:kern w:val="44"/>
          <w:szCs w:val="21"/>
        </w:rPr>
        <w:t>投保</w:t>
      </w:r>
      <w:r>
        <w:rPr>
          <w:rFonts w:hint="eastAsia" w:ascii="宋体" w:hAnsi="宋体" w:cs="宋体"/>
          <w:b/>
          <w:bCs/>
          <w:color w:val="000000"/>
          <w:szCs w:val="21"/>
        </w:rPr>
        <w:t>附加险的条件</w:t>
      </w:r>
    </w:p>
    <w:p>
      <w:pPr>
        <w:ind w:left="945" w:leftChars="450" w:firstLine="420" w:firstLineChars="200"/>
        <w:rPr>
          <w:rFonts w:ascii="宋体" w:hAnsi="宋体"/>
          <w:szCs w:val="21"/>
        </w:rPr>
      </w:pPr>
      <w:r>
        <w:rPr>
          <w:rFonts w:hint="eastAsia" w:ascii="宋体" w:hAnsi="宋体"/>
          <w:szCs w:val="21"/>
        </w:rPr>
        <w:t>本条款为本保险单约定的旅行类意外健康险主险的附加险条款。只有在投保了主险的基础上，方可投保本附加险。</w:t>
      </w:r>
    </w:p>
    <w:p>
      <w:pPr>
        <w:keepNext/>
        <w:keepLines/>
        <w:tabs>
          <w:tab w:val="left" w:pos="993"/>
        </w:tabs>
        <w:outlineLvl w:val="1"/>
        <w:rPr>
          <w:rFonts w:ascii="宋体" w:hAnsi="宋体" w:cs="宋体"/>
          <w:b/>
          <w:bCs/>
          <w:color w:val="000000"/>
          <w:szCs w:val="21"/>
        </w:rPr>
      </w:pPr>
      <w:r>
        <w:rPr>
          <w:rFonts w:hint="eastAsia" w:ascii="宋体" w:hAnsi="宋体" w:cs="宋体"/>
          <w:b/>
          <w:bCs/>
          <w:color w:val="000000"/>
          <w:szCs w:val="21"/>
        </w:rPr>
        <w:t>1.2      主险与附加险关系</w:t>
      </w:r>
    </w:p>
    <w:p>
      <w:pPr>
        <w:ind w:left="945" w:leftChars="450" w:firstLine="420" w:firstLineChars="200"/>
        <w:rPr>
          <w:rFonts w:ascii="宋体" w:hAnsi="宋体"/>
          <w:szCs w:val="21"/>
        </w:rPr>
      </w:pPr>
      <w:r>
        <w:rPr>
          <w:rFonts w:hint="eastAsia" w:ascii="宋体" w:hAnsi="宋体"/>
          <w:szCs w:val="21"/>
        </w:rPr>
        <w:t>凡涉及本附加险合同的约定，均应采用书面形式。主险合同与本附加险合同相抵触之处，以本附加险合同为准；本附加险合同未约定事项，以主险合同为准。主险合同无效，本附加险合同亦无效。</w:t>
      </w:r>
    </w:p>
    <w:p>
      <w:pPr>
        <w:pStyle w:val="3"/>
        <w:rPr>
          <w:color w:val="auto"/>
        </w:rPr>
      </w:pPr>
      <w:r>
        <w:rPr>
          <w:rFonts w:hint="eastAsia"/>
          <w:color w:val="auto"/>
        </w:rPr>
        <w:t>1.</w:t>
      </w:r>
      <w:r>
        <w:rPr>
          <w:rFonts w:hint="eastAsia"/>
          <w:color w:val="auto"/>
          <w:lang w:val="en-US" w:eastAsia="zh-CN"/>
        </w:rPr>
        <w:t>3</w:t>
      </w:r>
      <w:r>
        <w:rPr>
          <w:rFonts w:hint="eastAsia"/>
          <w:color w:val="auto"/>
        </w:rPr>
        <w:tab/>
      </w:r>
      <w:r>
        <w:rPr>
          <w:rFonts w:hint="eastAsia"/>
          <w:color w:val="auto"/>
        </w:rPr>
        <w:t>受益人</w:t>
      </w:r>
    </w:p>
    <w:p>
      <w:pPr>
        <w:ind w:left="945" w:leftChars="450" w:firstLine="420" w:firstLineChars="200"/>
        <w:rPr>
          <w:rFonts w:ascii="宋体" w:hAnsi="宋体"/>
          <w:szCs w:val="21"/>
        </w:rPr>
      </w:pPr>
      <w:r>
        <w:rPr>
          <w:rFonts w:hint="eastAsia" w:ascii="宋体" w:hAnsi="宋体"/>
          <w:szCs w:val="21"/>
        </w:rPr>
        <w:t>订立本保险合同时，被保险人或投保人可指定一人或数人为本保险合同的身故保险金受益人。身故保险金受益人为数人时，应确定其受益顺序和受益份额；未确定受益份额的，各身故保险金受益人按照相等份额享有受益权。</w:t>
      </w:r>
    </w:p>
    <w:p>
      <w:pPr>
        <w:ind w:left="945" w:leftChars="450" w:firstLine="420" w:firstLineChars="200"/>
        <w:rPr>
          <w:rFonts w:ascii="宋体" w:hAnsi="宋体"/>
          <w:szCs w:val="21"/>
        </w:rPr>
      </w:pPr>
      <w:r>
        <w:rPr>
          <w:rFonts w:hint="eastAsia" w:ascii="宋体" w:hAnsi="宋体"/>
          <w:szCs w:val="21"/>
        </w:rPr>
        <w:t>被保险人或投保人可以变更保险金受益人，但需书面通知保险人，由保险人在本保险合同上批注。</w:t>
      </w:r>
    </w:p>
    <w:p>
      <w:pPr>
        <w:ind w:left="945" w:leftChars="450" w:firstLine="420" w:firstLineChars="200"/>
        <w:rPr>
          <w:rFonts w:ascii="宋体" w:hAnsi="宋体"/>
          <w:szCs w:val="21"/>
        </w:rPr>
      </w:pPr>
      <w:r>
        <w:rPr>
          <w:rFonts w:hint="eastAsia" w:ascii="宋体" w:hAnsi="宋体"/>
          <w:szCs w:val="21"/>
        </w:rPr>
        <w:t>投保人指定或变更保险金受益人的，应经被保险人同意。被保险人不具有完全民事行为能力的，应由其监护人指定或变更保险金受益人。</w:t>
      </w:r>
    </w:p>
    <w:p>
      <w:pPr>
        <w:pStyle w:val="26"/>
        <w:ind w:left="945" w:leftChars="450" w:firstLine="422"/>
        <w:rPr>
          <w:rFonts w:ascii="Arial" w:hAnsi="Arial" w:cs="Arial"/>
          <w:b/>
          <w:color w:val="000000"/>
          <w:szCs w:val="21"/>
        </w:rPr>
      </w:pPr>
      <w:r>
        <w:rPr>
          <w:rFonts w:hint="eastAsia" w:ascii="Arial" w:hAnsi="Arial" w:cs="Arial"/>
          <w:b/>
          <w:color w:val="000000"/>
          <w:szCs w:val="21"/>
        </w:rPr>
        <w:t>受益人故意造成被保险人死亡、伤残、疾病的，或者故意杀害被保险人未遂的，该受益人丧失受益权。</w:t>
      </w:r>
    </w:p>
    <w:p>
      <w:pPr>
        <w:pStyle w:val="2"/>
      </w:pPr>
      <w:r>
        <w:t>2</w:t>
      </w:r>
      <w:r>
        <w:rPr>
          <w:rFonts w:hint="eastAsia"/>
          <w:lang w:val="en-US" w:eastAsia="zh-CN"/>
        </w:rPr>
        <w:t xml:space="preserve">        </w:t>
      </w:r>
      <w:bookmarkStart w:id="8" w:name="_GoBack"/>
      <w:bookmarkEnd w:id="8"/>
      <w:r>
        <w:rPr>
          <w:rFonts w:hint="eastAsia"/>
        </w:rPr>
        <w:t>保障内容</w:t>
      </w:r>
    </w:p>
    <w:p>
      <w:pPr>
        <w:pStyle w:val="44"/>
        <w:outlineLvl w:val="1"/>
        <w:rPr>
          <w:rFonts w:ascii="宋体" w:hAnsi="宋体"/>
          <w:szCs w:val="21"/>
        </w:rPr>
      </w:pPr>
      <w:bookmarkStart w:id="0" w:name="_2.1_保险责任"/>
      <w:bookmarkEnd w:id="0"/>
      <w:bookmarkStart w:id="1" w:name="_2.1.1_保险金的计算方式"/>
      <w:bookmarkEnd w:id="1"/>
      <w:r>
        <w:rPr>
          <w:rFonts w:hint="eastAsia" w:ascii="宋体" w:hAnsi="宋体"/>
          <w:szCs w:val="21"/>
        </w:rPr>
        <w:t>2.1</w:t>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保险责任</w:t>
      </w:r>
    </w:p>
    <w:p>
      <w:pPr>
        <w:ind w:left="945" w:leftChars="450" w:firstLine="420" w:firstLineChars="200"/>
        <w:rPr>
          <w:szCs w:val="20"/>
        </w:rPr>
      </w:pPr>
      <w:r>
        <w:rPr>
          <w:rFonts w:hint="eastAsia" w:ascii="宋体" w:hAnsi="宋体"/>
          <w:szCs w:val="21"/>
        </w:rPr>
        <w:t>投保人可从以下2.</w:t>
      </w:r>
      <w:r>
        <w:rPr>
          <w:rFonts w:ascii="宋体" w:hAnsi="宋体"/>
          <w:szCs w:val="21"/>
        </w:rPr>
        <w:t>1</w:t>
      </w:r>
      <w:r>
        <w:rPr>
          <w:rFonts w:hint="eastAsia" w:ascii="宋体" w:hAnsi="宋体"/>
          <w:szCs w:val="21"/>
        </w:rPr>
        <w:t>.1至2.</w:t>
      </w:r>
      <w:r>
        <w:rPr>
          <w:rFonts w:ascii="宋体" w:hAnsi="宋体"/>
          <w:szCs w:val="21"/>
        </w:rPr>
        <w:t>1</w:t>
      </w:r>
      <w:r>
        <w:rPr>
          <w:rFonts w:hint="eastAsia" w:ascii="宋体" w:hAnsi="宋体"/>
          <w:szCs w:val="21"/>
        </w:rPr>
        <w:t>.2两项保险责任中选择一项投保，并</w:t>
      </w:r>
      <w:r>
        <w:rPr>
          <w:rFonts w:ascii="宋体" w:hAnsi="宋体"/>
          <w:szCs w:val="21"/>
        </w:rPr>
        <w:t>约定保险金额</w:t>
      </w:r>
      <w:r>
        <w:rPr>
          <w:rFonts w:hint="eastAsia" w:ascii="宋体" w:hAnsi="宋体"/>
          <w:szCs w:val="21"/>
        </w:rPr>
        <w:t>。</w:t>
      </w:r>
      <w:r>
        <w:rPr>
          <w:rFonts w:hint="eastAsia"/>
          <w:szCs w:val="20"/>
        </w:rPr>
        <w:t>本附加险合同的保险责任以书面形式在保险单中载明，并约定保险</w:t>
      </w:r>
      <w:r>
        <w:rPr>
          <w:szCs w:val="20"/>
        </w:rPr>
        <w:t>金额</w:t>
      </w:r>
      <w:r>
        <w:rPr>
          <w:rFonts w:hint="eastAsia"/>
          <w:szCs w:val="20"/>
        </w:rPr>
        <w:t>，保险人以此为依据给付保险金。</w:t>
      </w:r>
      <w:r>
        <w:rPr>
          <w:rFonts w:hint="eastAsia"/>
          <w:b/>
          <w:szCs w:val="20"/>
        </w:rPr>
        <w:t>保险单中未载明的保险责任，保险人不</w:t>
      </w:r>
      <w:r>
        <w:rPr>
          <w:rFonts w:hint="eastAsia" w:ascii="宋体" w:hAnsi="宋体"/>
          <w:b/>
          <w:szCs w:val="21"/>
        </w:rPr>
        <w:t>承担给付保险金责任</w:t>
      </w:r>
      <w:r>
        <w:rPr>
          <w:rFonts w:hint="eastAsia"/>
          <w:b/>
          <w:szCs w:val="20"/>
        </w:rPr>
        <w:t>。</w:t>
      </w:r>
    </w:p>
    <w:p>
      <w:pPr>
        <w:keepNext/>
        <w:keepLines/>
        <w:tabs>
          <w:tab w:val="left" w:pos="993"/>
        </w:tabs>
        <w:outlineLvl w:val="1"/>
        <w:rPr>
          <w:rStyle w:val="21"/>
          <w:rFonts w:hint="eastAsia"/>
        </w:rPr>
      </w:pPr>
      <w:r>
        <w:rPr>
          <w:rFonts w:hint="eastAsia" w:ascii="宋体" w:hAnsi="宋体" w:cs="宋体"/>
          <w:b/>
          <w:bCs/>
          <w:color w:val="000000"/>
          <w:szCs w:val="21"/>
        </w:rPr>
        <w:t>2.1.1    急性病身故</w:t>
      </w:r>
    </w:p>
    <w:p>
      <w:pPr>
        <w:ind w:left="945" w:leftChars="450" w:firstLine="420" w:firstLineChars="200"/>
        <w:rPr>
          <w:rFonts w:hint="eastAsia" w:ascii="宋体" w:hAnsi="宋体"/>
          <w:szCs w:val="21"/>
        </w:rPr>
      </w:pPr>
      <w:r>
        <w:rPr>
          <w:rFonts w:hint="eastAsia" w:ascii="宋体" w:hAnsi="宋体"/>
          <w:szCs w:val="21"/>
        </w:rPr>
        <w:t>在</w:t>
      </w:r>
      <w:r>
        <w:rPr>
          <w:rFonts w:ascii="宋体" w:hAnsi="宋体"/>
          <w:szCs w:val="21"/>
        </w:rPr>
        <w:t>保险期间内，</w:t>
      </w:r>
      <w:r>
        <w:rPr>
          <w:rFonts w:hint="eastAsia" w:ascii="宋体" w:hAnsi="宋体"/>
          <w:szCs w:val="21"/>
        </w:rPr>
        <w:t>被保险人自</w:t>
      </w:r>
      <w:r>
        <w:rPr>
          <w:rFonts w:hint="eastAsia" w:ascii="宋体" w:hAnsi="宋体"/>
          <w:bCs/>
          <w:szCs w:val="21"/>
        </w:rPr>
        <w:t>获得</w:t>
      </w:r>
      <w:r>
        <w:rPr>
          <w:rFonts w:hint="eastAsia" w:ascii="宋体" w:hAnsi="宋体"/>
          <w:b/>
          <w:szCs w:val="21"/>
        </w:rPr>
        <w:t>被保资格（见释义）</w:t>
      </w:r>
      <w:r>
        <w:rPr>
          <w:rFonts w:hint="eastAsia" w:ascii="宋体" w:hAnsi="宋体"/>
          <w:szCs w:val="21"/>
        </w:rPr>
        <w:t>之日起，在旅行期间因</w:t>
      </w:r>
      <w:r>
        <w:rPr>
          <w:rFonts w:hint="eastAsia" w:ascii="宋体" w:hAnsi="宋体"/>
          <w:b/>
          <w:bCs/>
          <w:szCs w:val="21"/>
        </w:rPr>
        <w:t>突发急性病（见释义）</w:t>
      </w:r>
      <w:r>
        <w:rPr>
          <w:rFonts w:hint="eastAsia" w:ascii="宋体" w:hAnsi="宋体"/>
          <w:szCs w:val="21"/>
        </w:rPr>
        <w:t>，并自发病之日起7日内（含7日）因该急性病导致身故的，保险人按本附加险合同约定的保险金额给付急性病身故保险金，对该被保险人的保险责任终止。</w:t>
      </w:r>
    </w:p>
    <w:p>
      <w:pPr>
        <w:keepNext/>
        <w:keepLines/>
        <w:tabs>
          <w:tab w:val="left" w:pos="993"/>
        </w:tabs>
        <w:outlineLvl w:val="1"/>
        <w:rPr>
          <w:rFonts w:hint="eastAsia" w:ascii="宋体" w:hAnsi="宋体" w:cs="宋体"/>
          <w:b/>
          <w:bCs/>
          <w:color w:val="000000"/>
          <w:szCs w:val="21"/>
        </w:rPr>
      </w:pPr>
      <w:r>
        <w:rPr>
          <w:rFonts w:hint="eastAsia" w:ascii="宋体" w:hAnsi="宋体" w:cs="宋体"/>
          <w:b/>
          <w:bCs/>
          <w:color w:val="000000"/>
          <w:szCs w:val="21"/>
        </w:rPr>
        <w:t>2.1.2    疾病身故</w:t>
      </w:r>
    </w:p>
    <w:p>
      <w:pPr>
        <w:ind w:left="945" w:leftChars="450" w:firstLine="420" w:firstLineChars="200"/>
        <w:rPr>
          <w:rFonts w:hint="eastAsia" w:ascii="宋体" w:hAnsi="宋体"/>
          <w:szCs w:val="21"/>
        </w:rPr>
      </w:pPr>
      <w:r>
        <w:rPr>
          <w:rFonts w:hint="eastAsia" w:ascii="宋体" w:hAnsi="宋体"/>
          <w:szCs w:val="21"/>
        </w:rPr>
        <w:t>在保险期间内，被保险人自获得被保资格之日起，在旅行期间罹患疾病，并自发病之日起30天（含30天）内因该疾病导致身故的，保险人按本附加险合同约定的保险金额给付疾病身故保险金，对该被保险人的保险责任终止。</w:t>
      </w:r>
    </w:p>
    <w:p>
      <w:pPr>
        <w:pStyle w:val="3"/>
        <w:rPr>
          <w:rStyle w:val="21"/>
          <w:rFonts w:ascii="Times New Roman" w:hAnsi="Times New Roman" w:eastAsia="宋体" w:cs="Times New Roman"/>
          <w:b w:val="0"/>
          <w:bCs w:val="0"/>
          <w:color w:val="auto"/>
        </w:rPr>
      </w:pPr>
      <w:r>
        <w:rPr>
          <w:color w:val="auto"/>
        </w:rPr>
        <w:t>2.2</w:t>
      </w:r>
      <w:r>
        <w:rPr>
          <w:rFonts w:hint="eastAsia"/>
          <w:color w:val="auto"/>
        </w:rPr>
        <w:tab/>
      </w:r>
      <w:r>
        <w:rPr>
          <w:rFonts w:hint="eastAsia"/>
          <w:color w:val="auto"/>
        </w:rPr>
        <w:t>责任免除</w:t>
      </w:r>
    </w:p>
    <w:p>
      <w:pPr>
        <w:keepNext/>
        <w:keepLines/>
        <w:tabs>
          <w:tab w:val="left" w:pos="993"/>
        </w:tabs>
        <w:outlineLvl w:val="1"/>
        <w:rPr>
          <w:rFonts w:hint="eastAsia" w:ascii="宋体" w:hAnsi="宋体" w:cs="宋体"/>
          <w:b/>
          <w:bCs/>
          <w:color w:val="000000"/>
          <w:szCs w:val="21"/>
        </w:rPr>
      </w:pPr>
      <w:r>
        <w:rPr>
          <w:rFonts w:hint="eastAsia" w:ascii="宋体" w:hAnsi="宋体" w:cs="宋体"/>
          <w:b/>
          <w:bCs/>
          <w:color w:val="000000"/>
          <w:szCs w:val="21"/>
        </w:rPr>
        <w:t>2.2.1    通用责任免除</w:t>
      </w:r>
    </w:p>
    <w:p>
      <w:pPr>
        <w:pStyle w:val="4"/>
        <w:spacing w:line="260" w:lineRule="exact"/>
        <w:ind w:left="949" w:hanging="949" w:hangingChars="450"/>
        <w:rPr>
          <w:color w:val="auto"/>
        </w:rPr>
      </w:pPr>
      <w:bookmarkStart w:id="2" w:name="_2.2.1_被保险人因下列原因而支出医疗费用的，保险人不承担给付保险金"/>
      <w:bookmarkEnd w:id="2"/>
      <w:bookmarkStart w:id="3" w:name="_2.3.1_因下列情形造成被保险人支出医疗费用的，保险人不承担给付保险"/>
      <w:bookmarkEnd w:id="3"/>
      <w:bookmarkStart w:id="4" w:name="_2.2.1__因下列情形之一，导致被保险人发生医疗费用的，保险人不承担"/>
      <w:bookmarkEnd w:id="4"/>
      <w:r>
        <w:rPr>
          <w:color w:val="auto"/>
        </w:rPr>
        <w:tab/>
      </w:r>
      <w:r>
        <w:rPr>
          <w:rFonts w:hint="eastAsia" w:ascii="宋体" w:hAnsi="宋体"/>
        </w:rPr>
        <w:t>因下列情形</w:t>
      </w:r>
      <w:r>
        <w:rPr>
          <w:rFonts w:ascii="宋体" w:hAnsi="宋体"/>
        </w:rPr>
        <w:t>之一，</w:t>
      </w:r>
      <w:r>
        <w:rPr>
          <w:rFonts w:hint="eastAsia" w:ascii="宋体" w:hAnsi="宋体"/>
        </w:rPr>
        <w:t>导致被保险人身故的，保险人不承担给付保险金的责任</w:t>
      </w:r>
      <w:r>
        <w:rPr>
          <w:rFonts w:hint="eastAsia"/>
          <w:color w:val="auto"/>
        </w:rPr>
        <w:t>：</w:t>
      </w:r>
    </w:p>
    <w:p>
      <w:pPr>
        <w:pStyle w:val="26"/>
        <w:numPr>
          <w:ilvl w:val="0"/>
          <w:numId w:val="2"/>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投保人对被保险人的故意杀害、故意伤害；</w:t>
      </w:r>
    </w:p>
    <w:p>
      <w:pPr>
        <w:pStyle w:val="26"/>
        <w:numPr>
          <w:ilvl w:val="0"/>
          <w:numId w:val="2"/>
        </w:numPr>
        <w:ind w:left="1637" w:leftChars="0" w:hanging="680" w:firstLineChars="0"/>
        <w:rPr>
          <w:rFonts w:asciiTheme="minorEastAsia" w:hAnsiTheme="minorEastAsia" w:eastAsiaTheme="minorEastAsia"/>
          <w:b/>
        </w:rPr>
      </w:pPr>
      <w:r>
        <w:rPr>
          <w:rFonts w:hint="eastAsia" w:asciiTheme="majorEastAsia" w:hAnsiTheme="majorEastAsia" w:eastAsiaTheme="majorEastAsia"/>
          <w:b/>
          <w:szCs w:val="21"/>
        </w:rPr>
        <w:t>被保险人故意自伤或自杀，但被保险人自杀时为无民事行为能力人的除外</w:t>
      </w:r>
      <w:r>
        <w:rPr>
          <w:rFonts w:hint="eastAsia" w:asciiTheme="minorEastAsia" w:hAnsiTheme="minorEastAsia" w:eastAsiaTheme="minorEastAsia"/>
          <w:b/>
        </w:rPr>
        <w:t>；</w:t>
      </w:r>
    </w:p>
    <w:p>
      <w:pPr>
        <w:pStyle w:val="26"/>
        <w:numPr>
          <w:ilvl w:val="0"/>
          <w:numId w:val="2"/>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被保险人未遵医嘱服用、涂用、注射药物，但按使用说明的规定使用非处方药不在此限；</w:t>
      </w:r>
    </w:p>
    <w:p>
      <w:pPr>
        <w:pStyle w:val="26"/>
        <w:numPr>
          <w:ilvl w:val="0"/>
          <w:numId w:val="2"/>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被保险人受酒精、毒品、管制药物的影响，但遵医嘱使用药物的情形不在此限；</w:t>
      </w:r>
    </w:p>
    <w:p>
      <w:pPr>
        <w:pStyle w:val="26"/>
        <w:numPr>
          <w:ilvl w:val="0"/>
          <w:numId w:val="2"/>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任何生物、化学、原子能武器，原子能或核能装置所造成的爆炸、灼伤、污染或辐射；</w:t>
      </w:r>
    </w:p>
    <w:p>
      <w:pPr>
        <w:pStyle w:val="26"/>
        <w:numPr>
          <w:ilvl w:val="0"/>
          <w:numId w:val="2"/>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战争、军事冲突、暴乱或武装叛乱、恐怖袭击；</w:t>
      </w:r>
    </w:p>
    <w:p>
      <w:pPr>
        <w:pStyle w:val="26"/>
        <w:numPr>
          <w:ilvl w:val="0"/>
          <w:numId w:val="2"/>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被保险人故意犯罪或抗拒依法采取的刑事强制措施；</w:t>
      </w:r>
    </w:p>
    <w:p>
      <w:pPr>
        <w:pStyle w:val="26"/>
        <w:numPr>
          <w:ilvl w:val="0"/>
          <w:numId w:val="2"/>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被保险人存在精神和行为障碍（以世界卫生组织颁布的《疾病和有关健康问题的国际统计分类（ICD-10）》为准）</w:t>
      </w:r>
      <w:r>
        <w:rPr>
          <w:rFonts w:asciiTheme="minorEastAsia" w:hAnsiTheme="minorEastAsia" w:eastAsiaTheme="minorEastAsia"/>
          <w:b/>
        </w:rPr>
        <w:t>；</w:t>
      </w:r>
    </w:p>
    <w:p>
      <w:pPr>
        <w:pStyle w:val="26"/>
        <w:numPr>
          <w:ilvl w:val="0"/>
          <w:numId w:val="2"/>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被保险人妊娠、分娩、流产、宫外孕、不孕不育治疗、人工受精、人工流产、节育（含绝育）、产前产后检查、变性以及由以上原因引起的并发症；</w:t>
      </w:r>
      <w:r>
        <w:rPr>
          <w:rFonts w:hint="eastAsia" w:asciiTheme="majorEastAsia" w:hAnsiTheme="majorEastAsia" w:eastAsiaTheme="majorEastAsia"/>
          <w:b/>
          <w:szCs w:val="21"/>
          <w:highlight w:val="none"/>
        </w:rPr>
        <w:t>被保险人感染艾滋病病毒或患艾滋病（见释义）；</w:t>
      </w:r>
    </w:p>
    <w:p>
      <w:pPr>
        <w:pStyle w:val="26"/>
        <w:numPr>
          <w:ilvl w:val="0"/>
          <w:numId w:val="2"/>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被保险人从事高风险运动（见释义）；</w:t>
      </w:r>
    </w:p>
    <w:p>
      <w:pPr>
        <w:pStyle w:val="26"/>
        <w:numPr>
          <w:ilvl w:val="0"/>
          <w:numId w:val="2"/>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遗传性疾病（见释义），先天性畸形、变形或染色体异常（见释义）；</w:t>
      </w:r>
    </w:p>
    <w:p>
      <w:pPr>
        <w:pStyle w:val="26"/>
        <w:numPr>
          <w:ilvl w:val="0"/>
          <w:numId w:val="2"/>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被保险人在获得被保资格前所患既往症（见释义）及保险单中特别约定的除外疾病或情形；</w:t>
      </w:r>
    </w:p>
    <w:p>
      <w:pPr>
        <w:pStyle w:val="26"/>
        <w:numPr>
          <w:ilvl w:val="0"/>
          <w:numId w:val="2"/>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参与执行军警任务或以执法者身份执行任务；</w:t>
      </w:r>
    </w:p>
    <w:p>
      <w:pPr>
        <w:pStyle w:val="26"/>
        <w:numPr>
          <w:ilvl w:val="0"/>
          <w:numId w:val="2"/>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测试任何种类交通工具；</w:t>
      </w:r>
    </w:p>
    <w:p>
      <w:pPr>
        <w:pStyle w:val="26"/>
        <w:numPr>
          <w:ilvl w:val="0"/>
          <w:numId w:val="2"/>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受雇于商业船只、服军役、职业性操作；</w:t>
      </w:r>
    </w:p>
    <w:p>
      <w:pPr>
        <w:pStyle w:val="26"/>
        <w:numPr>
          <w:ilvl w:val="0"/>
          <w:numId w:val="2"/>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参与任何职业体育活动或任何设有奖金或报酬的体育运动；</w:t>
      </w:r>
    </w:p>
    <w:p>
      <w:pPr>
        <w:pStyle w:val="26"/>
        <w:numPr>
          <w:ilvl w:val="0"/>
          <w:numId w:val="2"/>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从事石油挖掘、采矿、空中摄影、处理爆炸物、森林砍伐、建筑工程、水上作业、高空作业之类的职业活动；</w:t>
      </w:r>
    </w:p>
    <w:p>
      <w:pPr>
        <w:pStyle w:val="26"/>
        <w:numPr>
          <w:ilvl w:val="0"/>
          <w:numId w:val="2"/>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以医疗为目的或违背医嘱进行旅行。</w:t>
      </w:r>
    </w:p>
    <w:p>
      <w:pPr>
        <w:keepNext/>
        <w:keepLines/>
        <w:tabs>
          <w:tab w:val="left" w:pos="993"/>
        </w:tabs>
        <w:outlineLvl w:val="1"/>
        <w:rPr>
          <w:rStyle w:val="21"/>
          <w:rFonts w:hint="eastAsia" w:ascii="宋体" w:hAnsi="宋体"/>
        </w:rPr>
      </w:pPr>
      <w:r>
        <w:rPr>
          <w:rFonts w:hint="eastAsia" w:ascii="宋体" w:hAnsi="宋体" w:cs="宋体"/>
          <w:b/>
          <w:bCs/>
          <w:color w:val="000000"/>
          <w:szCs w:val="21"/>
        </w:rPr>
        <w:t>2.2.2    急性病身故的责任免除</w:t>
      </w:r>
    </w:p>
    <w:p>
      <w:pPr>
        <w:ind w:left="945" w:leftChars="450" w:firstLine="422" w:firstLineChars="200"/>
        <w:rPr>
          <w:rFonts w:hint="eastAsia" w:ascii="宋体" w:hAnsi="宋体"/>
          <w:b/>
          <w:szCs w:val="21"/>
        </w:rPr>
      </w:pPr>
      <w:r>
        <w:rPr>
          <w:rFonts w:hint="eastAsia" w:ascii="宋体" w:hAnsi="宋体"/>
          <w:b/>
          <w:bCs/>
          <w:szCs w:val="21"/>
        </w:rPr>
        <w:t>如投保人选择投保2.1.1急性病身故保险责任，则因</w:t>
      </w:r>
      <w:r>
        <w:rPr>
          <w:rFonts w:hint="eastAsia" w:ascii="宋体" w:hAnsi="宋体"/>
          <w:b/>
          <w:szCs w:val="21"/>
        </w:rPr>
        <w:t>传染病（见释义）导致被保险人罹患急性病的，保险人不承担给付保险金责任。</w:t>
      </w:r>
    </w:p>
    <w:p>
      <w:pPr>
        <w:pStyle w:val="3"/>
        <w:rPr>
          <w:color w:val="auto"/>
        </w:rPr>
      </w:pPr>
      <w:r>
        <w:rPr>
          <w:rFonts w:hint="eastAsia"/>
          <w:color w:val="auto"/>
        </w:rPr>
        <w:t>2.</w:t>
      </w:r>
      <w:r>
        <w:rPr>
          <w:color w:val="auto"/>
        </w:rPr>
        <w:t>3</w:t>
      </w:r>
      <w:r>
        <w:rPr>
          <w:rFonts w:hint="eastAsia"/>
          <w:color w:val="auto"/>
        </w:rPr>
        <w:tab/>
      </w:r>
      <w:r>
        <w:rPr>
          <w:rFonts w:hint="eastAsia"/>
          <w:color w:val="auto"/>
        </w:rPr>
        <w:t>保险金额</w:t>
      </w:r>
    </w:p>
    <w:p>
      <w:pPr>
        <w:adjustRightInd w:val="0"/>
        <w:snapToGrid w:val="0"/>
        <w:ind w:left="945" w:leftChars="450"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每一被保险人的保险金额是保险人承担给付该被保险人保险金责任的最高限额。</w:t>
      </w:r>
    </w:p>
    <w:p>
      <w:pPr>
        <w:adjustRightInd w:val="0"/>
        <w:snapToGrid w:val="0"/>
        <w:ind w:left="945" w:leftChars="450" w:firstLine="420" w:firstLineChars="200"/>
        <w:rPr>
          <w:rFonts w:asciiTheme="minorEastAsia" w:hAnsiTheme="minorEastAsia" w:eastAsiaTheme="minorEastAsia"/>
          <w:szCs w:val="21"/>
        </w:rPr>
      </w:pPr>
      <w:r>
        <w:rPr>
          <w:rFonts w:hint="eastAsia" w:ascii="宋体" w:hAnsi="宋体"/>
          <w:szCs w:val="21"/>
        </w:rPr>
        <w:t>急性病</w:t>
      </w:r>
      <w:r>
        <w:rPr>
          <w:rFonts w:hint="eastAsia" w:ascii="宋体" w:hAnsi="宋体"/>
          <w:szCs w:val="21"/>
          <w:highlight w:val="none"/>
        </w:rPr>
        <w:t>身故</w:t>
      </w:r>
      <w:r>
        <w:rPr>
          <w:rFonts w:asciiTheme="minorEastAsia" w:hAnsiTheme="minorEastAsia" w:eastAsiaTheme="minorEastAsia"/>
          <w:b/>
          <w:szCs w:val="21"/>
          <w:highlight w:val="none"/>
        </w:rPr>
        <w:t>保险责任</w:t>
      </w:r>
      <w:r>
        <w:rPr>
          <w:rFonts w:hint="eastAsia" w:asciiTheme="minorEastAsia" w:hAnsiTheme="minorEastAsia" w:eastAsiaTheme="minorEastAsia"/>
          <w:b/>
          <w:szCs w:val="21"/>
          <w:highlight w:val="none"/>
        </w:rPr>
        <w:t>、</w:t>
      </w:r>
      <w:r>
        <w:rPr>
          <w:rFonts w:hint="eastAsia" w:ascii="宋体" w:hAnsi="宋体"/>
          <w:szCs w:val="21"/>
          <w:highlight w:val="none"/>
        </w:rPr>
        <w:t>疾病身故</w:t>
      </w:r>
      <w:r>
        <w:rPr>
          <w:rFonts w:asciiTheme="minorEastAsia" w:hAnsiTheme="minorEastAsia" w:eastAsiaTheme="minorEastAsia"/>
          <w:b/>
          <w:szCs w:val="21"/>
          <w:highlight w:val="none"/>
        </w:rPr>
        <w:t>保险责任的</w:t>
      </w:r>
      <w:r>
        <w:rPr>
          <w:rFonts w:hint="eastAsia" w:asciiTheme="minorEastAsia" w:hAnsiTheme="minorEastAsia" w:eastAsiaTheme="minorEastAsia"/>
          <w:szCs w:val="21"/>
          <w:highlight w:val="none"/>
        </w:rPr>
        <w:t>保险金额由</w:t>
      </w:r>
      <w:r>
        <w:rPr>
          <w:rFonts w:hint="eastAsia" w:asciiTheme="minorEastAsia" w:hAnsiTheme="minorEastAsia" w:eastAsiaTheme="minorEastAsia"/>
          <w:szCs w:val="21"/>
        </w:rPr>
        <w:t>投保人、保险人双方约定，并在保险单中载明。</w:t>
      </w:r>
    </w:p>
    <w:p>
      <w:pPr>
        <w:adjustRightInd w:val="0"/>
        <w:snapToGrid w:val="0"/>
        <w:ind w:left="945" w:leftChars="450"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每一被保险人的保险金额一经确定，在保险期间内不得变更。</w:t>
      </w:r>
    </w:p>
    <w:p>
      <w:pPr>
        <w:pStyle w:val="2"/>
      </w:pPr>
      <w:r>
        <w:rPr>
          <w:rFonts w:hint="eastAsia"/>
          <w:lang w:val="en-US" w:eastAsia="zh-CN"/>
        </w:rPr>
        <w:t>3</w:t>
      </w:r>
      <w:r>
        <w:rPr>
          <w:rFonts w:hint="eastAsia"/>
        </w:rPr>
        <w:tab/>
      </w:r>
      <w:r>
        <w:rPr>
          <w:rFonts w:hint="eastAsia"/>
        </w:rPr>
        <w:t>保险金申请</w:t>
      </w:r>
    </w:p>
    <w:p>
      <w:pPr>
        <w:pStyle w:val="26"/>
        <w:ind w:left="945" w:leftChars="450" w:firstLine="422"/>
        <w:rPr>
          <w:rFonts w:ascii="宋体" w:hAnsi="宋体"/>
          <w:b/>
          <w:szCs w:val="21"/>
        </w:rPr>
      </w:pPr>
      <w:bookmarkStart w:id="5" w:name="_5.1_保险金申请"/>
      <w:bookmarkEnd w:id="5"/>
      <w:r>
        <w:rPr>
          <w:rFonts w:hint="eastAsia" w:ascii="宋体" w:hAnsi="宋体"/>
          <w:b/>
          <w:szCs w:val="21"/>
        </w:rPr>
        <w:t>保险金申请人（见释义）</w:t>
      </w:r>
      <w:r>
        <w:rPr>
          <w:rFonts w:hint="eastAsia" w:ascii="宋体" w:hAnsi="宋体"/>
          <w:szCs w:val="21"/>
        </w:rPr>
        <w:t>向保险人申请给付保险金时，应填写保险金给付申请书，并按照旅行类型，相应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b/>
          <w:szCs w:val="21"/>
        </w:rPr>
        <w:t>保险金申请人未能提供有关材料，导致保险人无法核实该申请的真实性的，保险人对无法核实部分不承担给付保险金的责任。</w:t>
      </w:r>
    </w:p>
    <w:p>
      <w:pPr>
        <w:pStyle w:val="44"/>
        <w:rPr>
          <w:rFonts w:hint="eastAsia" w:ascii="宋体" w:hAnsi="宋体"/>
          <w:szCs w:val="21"/>
        </w:rPr>
      </w:pPr>
      <w:r>
        <w:rPr>
          <w:rFonts w:hint="eastAsia" w:ascii="宋体" w:hAnsi="宋体"/>
          <w:szCs w:val="21"/>
        </w:rPr>
        <w:t>3.1      通用申请材料</w:t>
      </w:r>
    </w:p>
    <w:p>
      <w:pPr>
        <w:pStyle w:val="26"/>
        <w:ind w:left="853" w:leftChars="406" w:firstLineChars="0"/>
        <w:rPr>
          <w:rFonts w:ascii="宋体" w:hAnsi="宋体"/>
          <w:szCs w:val="21"/>
        </w:rPr>
      </w:pPr>
      <w:r>
        <w:rPr>
          <w:rFonts w:hint="eastAsia" w:ascii="宋体" w:hAnsi="宋体"/>
          <w:szCs w:val="21"/>
        </w:rPr>
        <w:t>（1）保险金给付申请书；</w:t>
      </w:r>
    </w:p>
    <w:p>
      <w:pPr>
        <w:pStyle w:val="26"/>
        <w:ind w:left="853" w:leftChars="406" w:firstLineChars="0"/>
        <w:rPr>
          <w:rFonts w:ascii="宋体" w:hAnsi="宋体"/>
          <w:szCs w:val="21"/>
        </w:rPr>
      </w:pPr>
      <w:r>
        <w:rPr>
          <w:rFonts w:hint="eastAsia" w:ascii="宋体" w:hAnsi="宋体"/>
          <w:szCs w:val="21"/>
        </w:rPr>
        <w:t>（2）保险单；</w:t>
      </w:r>
    </w:p>
    <w:p>
      <w:pPr>
        <w:pStyle w:val="26"/>
        <w:ind w:left="853" w:leftChars="406" w:firstLineChars="0"/>
        <w:rPr>
          <w:rFonts w:hint="eastAsia" w:ascii="宋体" w:hAnsi="宋体"/>
          <w:szCs w:val="21"/>
        </w:rPr>
      </w:pPr>
      <w:r>
        <w:rPr>
          <w:rFonts w:hint="eastAsia" w:ascii="宋体" w:hAnsi="宋体"/>
          <w:szCs w:val="21"/>
        </w:rPr>
        <w:t>（3）保险金申请人、</w:t>
      </w:r>
      <w:r>
        <w:rPr>
          <w:rFonts w:ascii="宋体" w:hAnsi="宋体"/>
          <w:szCs w:val="21"/>
        </w:rPr>
        <w:t>被保险人</w:t>
      </w:r>
      <w:r>
        <w:rPr>
          <w:rFonts w:hint="eastAsia" w:ascii="宋体" w:hAnsi="宋体"/>
          <w:szCs w:val="21"/>
        </w:rPr>
        <w:t>的身份证明；</w:t>
      </w:r>
    </w:p>
    <w:p>
      <w:pPr>
        <w:pStyle w:val="26"/>
        <w:numPr>
          <w:ilvl w:val="-1"/>
          <w:numId w:val="0"/>
        </w:numPr>
        <w:ind w:left="0" w:leftChars="0" w:firstLine="1260" w:firstLineChars="6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rPr>
        <w:t>医疗机构出具的疾病诊断证明书；</w:t>
      </w:r>
    </w:p>
    <w:p>
      <w:pPr>
        <w:pStyle w:val="26"/>
        <w:ind w:left="853" w:leftChars="406" w:firstLineChars="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）公安部门或医疗机构出具的被保险人死亡证明或验尸报告；</w:t>
      </w:r>
    </w:p>
    <w:p>
      <w:pPr>
        <w:pStyle w:val="26"/>
        <w:ind w:left="853" w:leftChars="406" w:firstLineChars="0"/>
        <w:rPr>
          <w:rFonts w:ascii="宋体" w:hAnsi="宋体"/>
          <w:szCs w:val="21"/>
        </w:rPr>
      </w:pPr>
      <w:r>
        <w:rPr>
          <w:rFonts w:hint="eastAsia" w:ascii="宋体" w:hAnsi="宋体"/>
          <w:szCs w:val="21"/>
        </w:rPr>
        <w:t>（6）保险金申请人所能提供的与确认保险事故的性质、原因、损失程度等有关的其他证明和资料。</w:t>
      </w:r>
    </w:p>
    <w:p>
      <w:pPr>
        <w:pStyle w:val="44"/>
        <w:rPr>
          <w:rFonts w:hint="eastAsia" w:ascii="宋体" w:hAnsi="宋体"/>
          <w:szCs w:val="21"/>
        </w:rPr>
      </w:pPr>
      <w:r>
        <w:rPr>
          <w:rFonts w:hint="eastAsia" w:ascii="宋体" w:hAnsi="宋体"/>
          <w:szCs w:val="21"/>
        </w:rPr>
        <w:t>3.2      不同旅行类型的申请材料</w:t>
      </w:r>
    </w:p>
    <w:p>
      <w:pPr>
        <w:pStyle w:val="26"/>
        <w:ind w:left="0" w:leftChars="0" w:firstLine="0" w:firstLineChars="0"/>
        <w:rPr>
          <w:rFonts w:hint="eastAsia" w:ascii="宋体" w:hAnsi="宋体"/>
          <w:b/>
          <w:bCs/>
          <w:szCs w:val="21"/>
        </w:rPr>
      </w:pPr>
      <w:r>
        <w:rPr>
          <w:rFonts w:hint="eastAsia" w:ascii="宋体" w:hAnsi="宋体"/>
          <w:b/>
          <w:bCs/>
          <w:szCs w:val="21"/>
        </w:rPr>
        <w:t>3.2.1    商务旅行</w:t>
      </w:r>
    </w:p>
    <w:p>
      <w:pPr>
        <w:pStyle w:val="26"/>
        <w:ind w:left="0" w:leftChars="0" w:firstLine="0" w:firstLineChars="0"/>
        <w:rPr>
          <w:rFonts w:hint="eastAsia" w:ascii="宋体" w:hAnsi="宋体"/>
          <w:szCs w:val="21"/>
        </w:rPr>
      </w:pPr>
      <w:r>
        <w:rPr>
          <w:rFonts w:hint="eastAsia" w:ascii="宋体" w:hAnsi="宋体"/>
          <w:szCs w:val="21"/>
        </w:rPr>
        <w:t xml:space="preserve">         由雇主出具的商务旅行证明。</w:t>
      </w:r>
    </w:p>
    <w:p>
      <w:pPr>
        <w:pStyle w:val="26"/>
        <w:ind w:left="0" w:leftChars="0" w:firstLine="0" w:firstLineChars="0"/>
        <w:rPr>
          <w:rFonts w:hint="eastAsia" w:ascii="宋体" w:hAnsi="宋体"/>
          <w:b/>
          <w:bCs/>
          <w:szCs w:val="21"/>
        </w:rPr>
      </w:pPr>
      <w:r>
        <w:rPr>
          <w:rFonts w:hint="eastAsia" w:ascii="宋体" w:hAnsi="宋体"/>
          <w:b/>
          <w:bCs/>
          <w:szCs w:val="21"/>
        </w:rPr>
        <w:t>3.2.2    其他旅行</w:t>
      </w:r>
    </w:p>
    <w:p>
      <w:pPr>
        <w:pStyle w:val="26"/>
        <w:ind w:left="0" w:leftChars="0" w:firstLine="0" w:firstLineChars="0"/>
        <w:rPr>
          <w:rFonts w:hint="eastAsia" w:ascii="宋体" w:hAnsi="宋体"/>
          <w:szCs w:val="21"/>
        </w:rPr>
      </w:pPr>
      <w:r>
        <w:rPr>
          <w:rFonts w:hint="eastAsia" w:ascii="宋体" w:hAnsi="宋体"/>
          <w:szCs w:val="21"/>
        </w:rPr>
        <w:t xml:space="preserve">         （1）境内旅行：被保险人境内旅行的证明，如旅游费用收据、机票或车船票。</w:t>
      </w:r>
    </w:p>
    <w:p>
      <w:pPr>
        <w:pStyle w:val="26"/>
        <w:ind w:left="0" w:leftChars="0" w:firstLine="0" w:firstLineChars="0"/>
        <w:rPr>
          <w:rFonts w:hint="eastAsia" w:ascii="宋体" w:hAnsi="宋体"/>
          <w:szCs w:val="21"/>
        </w:rPr>
      </w:pPr>
      <w:r>
        <w:rPr>
          <w:rFonts w:hint="eastAsia" w:ascii="宋体" w:hAnsi="宋体"/>
          <w:szCs w:val="21"/>
        </w:rPr>
        <w:t xml:space="preserve">         （2）境外旅行：被保险人境外旅行的护照、签证及机票或车船票。</w:t>
      </w:r>
    </w:p>
    <w:p>
      <w:pPr>
        <w:pStyle w:val="2"/>
        <w:rPr>
          <w:rStyle w:val="21"/>
          <w:rFonts w:ascii="Times New Roman" w:hAnsi="Times New Roman" w:eastAsia="宋体" w:cs="Times New Roman"/>
          <w:b w:val="0"/>
          <w:bCs w:val="0"/>
          <w:kern w:val="2"/>
        </w:rPr>
      </w:pPr>
      <w:r>
        <w:rPr>
          <w:rFonts w:hint="eastAsia"/>
          <w:lang w:val="en-US" w:eastAsia="zh-CN"/>
        </w:rPr>
        <w:t>4</w:t>
      </w:r>
      <w:r>
        <w:rPr>
          <w:rFonts w:hint="eastAsia"/>
        </w:rPr>
        <w:tab/>
      </w:r>
      <w:r>
        <w:rPr>
          <w:rFonts w:hint="eastAsia"/>
        </w:rPr>
        <w:t>释义</w:t>
      </w:r>
    </w:p>
    <w:p>
      <w:pPr>
        <w:keepNext/>
        <w:keepLines/>
        <w:tabs>
          <w:tab w:val="left" w:pos="993"/>
        </w:tabs>
        <w:outlineLvl w:val="1"/>
        <w:rPr>
          <w:rFonts w:ascii="宋体" w:hAnsi="宋体" w:cs="宋体"/>
          <w:b/>
          <w:bCs/>
          <w:color w:val="000000"/>
          <w:szCs w:val="21"/>
        </w:rPr>
      </w:pPr>
      <w:r>
        <w:rPr>
          <w:rFonts w:hint="eastAsia" w:ascii="宋体" w:hAnsi="宋体" w:cs="宋体"/>
          <w:b/>
          <w:bCs/>
          <w:color w:val="000000"/>
          <w:szCs w:val="21"/>
        </w:rPr>
        <w:t>4.1      被保资格</w:t>
      </w:r>
    </w:p>
    <w:p>
      <w:pPr>
        <w:adjustRightInd w:val="0"/>
        <w:snapToGrid w:val="0"/>
        <w:ind w:left="945" w:leftChars="450" w:firstLine="420" w:firstLineChars="200"/>
        <w:rPr>
          <w:rFonts w:ascii="宋体" w:hAnsi="宋体"/>
          <w:szCs w:val="21"/>
        </w:rPr>
      </w:pPr>
      <w:r>
        <w:rPr>
          <w:rFonts w:hint="eastAsia" w:ascii="宋体" w:hAnsi="宋体"/>
          <w:szCs w:val="21"/>
        </w:rPr>
        <w:t>无论本附加</w:t>
      </w:r>
      <w:r>
        <w:rPr>
          <w:rFonts w:ascii="宋体" w:hAnsi="宋体"/>
          <w:szCs w:val="21"/>
        </w:rPr>
        <w:t>险</w:t>
      </w:r>
      <w:r>
        <w:rPr>
          <w:rFonts w:hint="eastAsia" w:ascii="宋体" w:hAnsi="宋体"/>
          <w:szCs w:val="21"/>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宋体" w:hAnsi="宋体"/>
          <w:szCs w:val="21"/>
        </w:rPr>
      </w:pPr>
      <w:r>
        <w:rPr>
          <w:rFonts w:hint="eastAsia" w:ascii="宋体" w:hAnsi="宋体"/>
          <w:szCs w:val="21"/>
        </w:rPr>
        <w:t>被保险人因非保险事故身故的，</w:t>
      </w:r>
      <w:r>
        <w:rPr>
          <w:rFonts w:hint="eastAsia" w:ascii="宋体" w:hAnsi="宋体"/>
          <w:b/>
          <w:szCs w:val="21"/>
        </w:rPr>
        <w:t>则自其身故之日起该被保险人的被保资格丧失，保险人对该被保险人所承担的保险责任随即终止</w:t>
      </w:r>
      <w:r>
        <w:rPr>
          <w:rFonts w:hint="eastAsia" w:ascii="宋体" w:hAnsi="宋体"/>
          <w:szCs w:val="21"/>
        </w:rPr>
        <w:t>。</w:t>
      </w:r>
    </w:p>
    <w:p>
      <w:pPr>
        <w:pStyle w:val="26"/>
        <w:ind w:left="945" w:leftChars="450"/>
        <w:rPr>
          <w:rFonts w:ascii="宋体" w:hAnsi="宋体" w:eastAsia="Times New Roman"/>
          <w:b/>
          <w:bCs/>
          <w:szCs w:val="20"/>
        </w:rPr>
      </w:pPr>
      <w:r>
        <w:rPr>
          <w:rFonts w:hint="eastAsia" w:ascii="宋体" w:hAnsi="宋体"/>
        </w:rPr>
        <w:t>本</w:t>
      </w:r>
      <w:r>
        <w:rPr>
          <w:rFonts w:hint="eastAsia" w:ascii="宋体" w:hAnsi="宋体"/>
          <w:szCs w:val="21"/>
        </w:rPr>
        <w:t>附加</w:t>
      </w:r>
      <w:r>
        <w:rPr>
          <w:rFonts w:ascii="宋体" w:hAnsi="宋体"/>
          <w:szCs w:val="21"/>
        </w:rPr>
        <w:t>险</w:t>
      </w:r>
      <w:r>
        <w:rPr>
          <w:rFonts w:hint="eastAsia" w:ascii="宋体" w:hAnsi="宋体"/>
        </w:rPr>
        <w:t>合同保险期间终止，</w:t>
      </w:r>
      <w:r>
        <w:rPr>
          <w:rFonts w:hint="eastAsia" w:ascii="宋体" w:hAnsi="宋体"/>
          <w:b/>
          <w:bCs/>
        </w:rPr>
        <w:t>则被保险人的被保资格终止，保险人对被保险人所承担的保险责任随即终止。</w:t>
      </w:r>
    </w:p>
    <w:p>
      <w:pPr>
        <w:adjustRightInd w:val="0"/>
        <w:snapToGrid w:val="0"/>
        <w:ind w:left="945" w:leftChars="450" w:firstLine="420" w:firstLineChars="200"/>
        <w:rPr>
          <w:rFonts w:hint="eastAsia" w:ascii="宋体" w:hAnsi="宋体"/>
          <w:b/>
          <w:bCs/>
        </w:rPr>
      </w:pPr>
      <w:r>
        <w:rPr>
          <w:rFonts w:hint="eastAsia" w:ascii="宋体" w:hAnsi="宋体"/>
        </w:rPr>
        <w:t>本</w:t>
      </w:r>
      <w:r>
        <w:rPr>
          <w:rFonts w:hint="eastAsia" w:ascii="宋体" w:hAnsi="宋体"/>
          <w:szCs w:val="21"/>
        </w:rPr>
        <w:t>附加</w:t>
      </w:r>
      <w:r>
        <w:rPr>
          <w:rFonts w:ascii="宋体" w:hAnsi="宋体"/>
          <w:szCs w:val="21"/>
        </w:rPr>
        <w:t>险</w:t>
      </w:r>
      <w:r>
        <w:rPr>
          <w:rFonts w:hint="eastAsia" w:ascii="宋体" w:hAnsi="宋体"/>
        </w:rPr>
        <w:t>合同解除，</w:t>
      </w:r>
      <w:r>
        <w:rPr>
          <w:rFonts w:hint="eastAsia" w:ascii="宋体" w:hAnsi="宋体"/>
          <w:b/>
          <w:bCs/>
        </w:rPr>
        <w:t>则自解除之日起被保险人的被保资格终止，保险人对被保险人所承担的保险责任随即终止。</w:t>
      </w:r>
    </w:p>
    <w:p>
      <w:pPr>
        <w:keepNext/>
        <w:keepLines/>
        <w:tabs>
          <w:tab w:val="left" w:pos="945"/>
        </w:tabs>
        <w:outlineLvl w:val="1"/>
        <w:rPr>
          <w:rFonts w:ascii="宋体" w:hAnsi="宋体" w:cs="宋体"/>
          <w:b/>
          <w:color w:val="000000"/>
          <w:szCs w:val="21"/>
        </w:rPr>
      </w:pPr>
      <w:r>
        <w:rPr>
          <w:rFonts w:hint="eastAsia" w:ascii="宋体" w:hAnsi="宋体" w:cs="宋体"/>
          <w:b/>
          <w:color w:val="000000"/>
          <w:szCs w:val="21"/>
        </w:rPr>
        <w:t xml:space="preserve">4.2      </w:t>
      </w:r>
      <w:r>
        <w:rPr>
          <w:rFonts w:hint="eastAsia" w:ascii="宋体" w:hAnsi="宋体" w:cs="宋体"/>
          <w:b/>
          <w:bCs/>
          <w:color w:val="000000"/>
          <w:szCs w:val="21"/>
        </w:rPr>
        <w:t>突发</w:t>
      </w:r>
      <w:r>
        <w:rPr>
          <w:rFonts w:hint="eastAsia" w:ascii="宋体" w:hAnsi="宋体" w:cs="宋体"/>
          <w:b/>
          <w:color w:val="000000"/>
          <w:szCs w:val="21"/>
        </w:rPr>
        <w:t>急性病</w:t>
      </w:r>
    </w:p>
    <w:p>
      <w:pPr>
        <w:pStyle w:val="26"/>
        <w:ind w:left="945" w:leftChars="450"/>
      </w:pPr>
      <w:r>
        <w:rPr>
          <w:rFonts w:hint="eastAsia" w:ascii="宋体" w:hAnsi="宋体"/>
          <w:szCs w:val="21"/>
        </w:rPr>
        <w:t>是指在保险期间内,被保险人突然发生不及时救治将危及生命安危的急性疾病。</w:t>
      </w:r>
    </w:p>
    <w:p>
      <w:pPr>
        <w:pStyle w:val="3"/>
        <w:rPr>
          <w:rStyle w:val="20"/>
          <w:color w:val="auto"/>
          <w:u w:val="none"/>
        </w:rPr>
      </w:pPr>
      <w:r>
        <w:fldChar w:fldCharType="begin"/>
      </w:r>
      <w:r>
        <w:instrText xml:space="preserve"> HYPERLINK \l "_2.2.1_因下列情形造成被保险人住院治疗的，保险人不承担给付保险金的" </w:instrText>
      </w:r>
      <w:r>
        <w:fldChar w:fldCharType="separate"/>
      </w:r>
      <w:r>
        <w:rPr>
          <w:rFonts w:hint="eastAsia"/>
          <w:lang w:val="en-US" w:eastAsia="zh-CN"/>
        </w:rPr>
        <w:t>4</w:t>
      </w:r>
      <w:r>
        <w:rPr>
          <w:rStyle w:val="20"/>
          <w:color w:val="auto"/>
          <w:u w:val="none"/>
        </w:rPr>
        <w:t>.</w:t>
      </w:r>
      <w:r>
        <w:rPr>
          <w:rStyle w:val="20"/>
          <w:rFonts w:hint="eastAsia"/>
          <w:color w:val="auto"/>
          <w:u w:val="none"/>
          <w:lang w:val="en-US" w:eastAsia="zh-CN"/>
        </w:rPr>
        <w:t>3</w:t>
      </w:r>
      <w:r>
        <w:rPr>
          <w:rStyle w:val="20"/>
          <w:rFonts w:hint="eastAsia"/>
          <w:color w:val="auto"/>
          <w:u w:val="none"/>
        </w:rPr>
        <w:tab/>
      </w:r>
      <w:r>
        <w:rPr>
          <w:rStyle w:val="20"/>
          <w:rFonts w:hint="eastAsia"/>
          <w:color w:val="auto"/>
          <w:u w:val="none"/>
        </w:rPr>
        <w:t>感染艾滋病病毒或患艾滋病</w:t>
      </w:r>
      <w:r>
        <w:rPr>
          <w:rStyle w:val="20"/>
          <w:rFonts w:hint="eastAsia"/>
          <w:color w:val="auto"/>
          <w:u w:val="none"/>
        </w:rPr>
        <w:fldChar w:fldCharType="end"/>
      </w:r>
    </w:p>
    <w:p>
      <w:pPr>
        <w:adjustRightInd w:val="0"/>
        <w:snapToGrid w:val="0"/>
        <w:ind w:left="945" w:leftChars="450" w:firstLine="420" w:firstLineChars="200"/>
        <w:rPr>
          <w:rFonts w:ascii="宋体" w:hAnsi="宋体"/>
          <w:szCs w:val="21"/>
        </w:rPr>
      </w:pPr>
      <w:r>
        <w:rPr>
          <w:rFonts w:ascii="宋体" w:hAnsi="宋体"/>
          <w:szCs w:val="21"/>
        </w:rPr>
        <w:t>艾滋病病毒指人类免疫缺陷病毒，英文缩写为HIV。艾滋病指人类免疫缺陷病毒引起的获得性免疫缺陷综合征，英文缩写为AIDS。</w:t>
      </w:r>
    </w:p>
    <w:p>
      <w:pPr>
        <w:adjustRightInd w:val="0"/>
        <w:snapToGrid w:val="0"/>
        <w:ind w:left="945" w:leftChars="450" w:firstLine="420" w:firstLineChars="200"/>
        <w:rPr>
          <w:rFonts w:ascii="宋体" w:hAnsi="宋体"/>
          <w:szCs w:val="21"/>
        </w:rPr>
      </w:pPr>
      <w:r>
        <w:rPr>
          <w:rFonts w:ascii="宋体" w:hAnsi="宋体"/>
          <w:szCs w:val="21"/>
        </w:rPr>
        <w:t>在人体血液或其它样本中检测到艾滋病病毒或其抗体呈阳性，没有出现临床症状或体征的，为感染艾滋病病毒；如果同时出现了明显临床症状或体征的，为患艾滋病</w:t>
      </w:r>
      <w:r>
        <w:rPr>
          <w:rFonts w:hint="eastAsia" w:ascii="宋体" w:hAnsi="宋体"/>
          <w:szCs w:val="21"/>
        </w:rPr>
        <w:t>。</w:t>
      </w:r>
    </w:p>
    <w:p>
      <w:pPr>
        <w:pStyle w:val="3"/>
        <w:rPr>
          <w:rStyle w:val="20"/>
          <w:color w:val="auto"/>
          <w:u w:val="none"/>
        </w:rPr>
      </w:pPr>
      <w:r>
        <w:rPr>
          <w:rStyle w:val="20"/>
          <w:rFonts w:hint="eastAsia"/>
          <w:color w:val="auto"/>
          <w:u w:val="none"/>
          <w:lang w:val="en-US" w:eastAsia="zh-CN"/>
        </w:rPr>
        <w:t>4</w:t>
      </w:r>
      <w:r>
        <w:rPr>
          <w:rStyle w:val="20"/>
          <w:color w:val="auto"/>
          <w:u w:val="none"/>
        </w:rPr>
        <w:t>.</w:t>
      </w:r>
      <w:r>
        <w:rPr>
          <w:rStyle w:val="20"/>
          <w:rFonts w:hint="eastAsia"/>
          <w:color w:val="auto"/>
          <w:u w:val="none"/>
          <w:lang w:val="en-US" w:eastAsia="zh-CN"/>
        </w:rPr>
        <w:t>4</w:t>
      </w:r>
      <w:r>
        <w:rPr>
          <w:rStyle w:val="20"/>
          <w:color w:val="auto"/>
          <w:u w:val="none"/>
        </w:rPr>
        <w:tab/>
      </w:r>
      <w:r>
        <w:rPr>
          <w:rStyle w:val="20"/>
          <w:rFonts w:hint="eastAsia"/>
          <w:color w:val="auto"/>
          <w:u w:val="none"/>
        </w:rPr>
        <w:t>高风险运动</w:t>
      </w:r>
    </w:p>
    <w:p>
      <w:pPr>
        <w:pStyle w:val="26"/>
        <w:ind w:left="945" w:leftChars="450"/>
        <w:rPr>
          <w:rFonts w:asciiTheme="minorEastAsia" w:hAnsiTheme="minorEastAsia" w:eastAsiaTheme="minorEastAsia"/>
          <w:szCs w:val="21"/>
        </w:rPr>
      </w:pPr>
      <w:r>
        <w:rPr>
          <w:rFonts w:hint="eastAsia" w:asciiTheme="minorEastAsia" w:hAnsiTheme="minorEastAsia" w:eastAsiaTheme="minorEastAsia"/>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hAnsiTheme="minorEastAsia" w:eastAsiaTheme="minorEastAsia"/>
          <w:szCs w:val="21"/>
        </w:rPr>
        <w:t>：</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（1）潜水：</w:t>
      </w:r>
      <w:r>
        <w:rPr>
          <w:rFonts w:asciiTheme="minorEastAsia" w:hAnsiTheme="minorEastAsia" w:eastAsiaTheme="minorEastAsia"/>
          <w:szCs w:val="21"/>
        </w:rPr>
        <w:tab/>
      </w:r>
      <w:r>
        <w:rPr>
          <w:rFonts w:hint="eastAsia" w:asciiTheme="minorEastAsia" w:hAnsiTheme="minorEastAsia" w:eastAsiaTheme="minorEastAsia"/>
          <w:szCs w:val="21"/>
        </w:rPr>
        <w:t>指以辅助呼吸器材在江、河、湖、海、水库、运河等水域进行的水下运动，但穿着救生衣在水面进行的浮潜活动除外。</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（2）热气球运动：</w:t>
      </w:r>
      <w:r>
        <w:rPr>
          <w:rFonts w:asciiTheme="minorEastAsia" w:hAnsiTheme="minorEastAsia" w:eastAsiaTheme="minorEastAsia"/>
          <w:szCs w:val="21"/>
        </w:rPr>
        <w:tab/>
      </w:r>
      <w:r>
        <w:rPr>
          <w:rFonts w:hint="eastAsia" w:asciiTheme="minorEastAsia" w:hAnsiTheme="minorEastAsia" w:eastAsiaTheme="minorEastAsia"/>
          <w:szCs w:val="21"/>
        </w:rPr>
        <w:t>指乘坐热气球升空飞行的体育活动。</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（3）攀岩运动：</w:t>
      </w:r>
      <w:r>
        <w:rPr>
          <w:rFonts w:asciiTheme="minorEastAsia" w:hAnsiTheme="minorEastAsia" w:eastAsiaTheme="minorEastAsia"/>
          <w:szCs w:val="21"/>
        </w:rPr>
        <w:tab/>
      </w:r>
      <w:r>
        <w:rPr>
          <w:rFonts w:hint="eastAsia" w:asciiTheme="minorEastAsia" w:hAnsiTheme="minorEastAsia" w:eastAsiaTheme="minorEastAsia"/>
          <w:szCs w:val="21"/>
        </w:rPr>
        <w:t>指以攀登悬崖、楼宇外墙、人造悬崖、冰崖、冰山等运动。</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（4）探险活动：</w:t>
      </w:r>
      <w:r>
        <w:rPr>
          <w:rFonts w:asciiTheme="minorEastAsia" w:hAnsiTheme="minorEastAsia" w:eastAsiaTheme="minorEastAsia"/>
          <w:szCs w:val="21"/>
        </w:rPr>
        <w:tab/>
      </w:r>
      <w:r>
        <w:rPr>
          <w:rFonts w:hint="eastAsia" w:asciiTheme="minorEastAsia" w:hAnsiTheme="minorEastAsia" w:eastAsiaTheme="minorEastAsia"/>
          <w:szCs w:val="21"/>
        </w:rPr>
        <w:t>指明知在某种特定的自然条件下有失去生命或使身体受到伤害的危险，而故意使自己置身其中的行为。如江河漂流、非固定路线徒步、徒步穿越沙漠或人迹罕至的原始森林等活动。</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（5）武术比赛：</w:t>
      </w:r>
      <w:r>
        <w:rPr>
          <w:rFonts w:asciiTheme="minorEastAsia" w:hAnsiTheme="minorEastAsia" w:eastAsiaTheme="minorEastAsia"/>
          <w:szCs w:val="21"/>
        </w:rPr>
        <w:tab/>
      </w:r>
      <w:r>
        <w:rPr>
          <w:rFonts w:hint="eastAsia" w:asciiTheme="minorEastAsia" w:hAnsiTheme="minorEastAsia" w:eastAsiaTheme="minorEastAsia"/>
          <w:szCs w:val="21"/>
        </w:rPr>
        <w:t>指两人或两人以上对抗性柔道、空手道、跆拳道、散打、拳击等各种拳术及各种使用器械的对抗性比赛。</w:t>
      </w:r>
    </w:p>
    <w:p>
      <w:pPr>
        <w:pStyle w:val="26"/>
        <w:ind w:left="3255" w:leftChars="650" w:hanging="1890" w:hangingChars="900"/>
        <w:rPr>
          <w:rFonts w:hint="eastAsia" w:asciiTheme="minorEastAsia" w:hAnsiTheme="minorEastAsia" w:eastAsiaTheme="minorEastAsia"/>
          <w:szCs w:val="21"/>
        </w:rPr>
      </w:pPr>
      <w:r>
        <w:rPr>
          <w:rFonts w:hint="eastAsia" w:asciiTheme="minorEastAsia" w:hAnsiTheme="minorEastAsia" w:eastAsiaTheme="minorEastAsia"/>
          <w:szCs w:val="21"/>
        </w:rPr>
        <w:t>（6）特技：</w:t>
      </w:r>
      <w:r>
        <w:rPr>
          <w:rFonts w:asciiTheme="minorEastAsia" w:hAnsiTheme="minorEastAsia" w:eastAsiaTheme="minorEastAsia"/>
          <w:szCs w:val="21"/>
        </w:rPr>
        <w:tab/>
      </w:r>
      <w:r>
        <w:rPr>
          <w:rFonts w:hint="eastAsia" w:asciiTheme="minorEastAsia" w:hAnsiTheme="minorEastAsia" w:eastAsiaTheme="minorEastAsia"/>
          <w:szCs w:val="21"/>
        </w:rPr>
        <w:t>指从事马术、杂技、驯兽等特殊技能。</w:t>
      </w:r>
    </w:p>
    <w:p>
      <w:pPr>
        <w:keepNext/>
        <w:keepLines/>
        <w:tabs>
          <w:tab w:val="left" w:pos="945"/>
        </w:tabs>
        <w:outlineLvl w:val="1"/>
        <w:rPr>
          <w:rFonts w:ascii="宋体" w:hAnsi="宋体" w:cs="宋体"/>
          <w:b/>
          <w:bCs/>
          <w:color w:val="000000"/>
          <w:szCs w:val="21"/>
          <w:highlight w:val="yellow"/>
        </w:rPr>
      </w:pPr>
      <w:r>
        <w:rPr>
          <w:bCs/>
        </w:rPr>
        <w:fldChar w:fldCharType="begin"/>
      </w:r>
      <w:r>
        <w:rPr>
          <w:bCs/>
        </w:rPr>
        <w:instrText xml:space="preserve"> HYPERLINK \l "_2.2.1_因下列情形造成被保险人住院治疗的，保险人不承担给付保险金的" </w:instrText>
      </w:r>
      <w:r>
        <w:rPr>
          <w:bCs/>
        </w:rPr>
        <w:fldChar w:fldCharType="separate"/>
      </w:r>
      <w:r>
        <w:rPr>
          <w:rFonts w:ascii="宋体" w:hAnsi="宋体" w:cs="宋体"/>
          <w:b/>
          <w:bCs/>
          <w:color w:val="000000"/>
          <w:szCs w:val="21"/>
        </w:rPr>
        <w:t>4.</w:t>
      </w:r>
      <w:r>
        <w:rPr>
          <w:rFonts w:hint="eastAsia" w:ascii="宋体" w:hAnsi="宋体" w:cs="宋体"/>
          <w:b/>
          <w:bCs/>
          <w:color w:val="000000"/>
          <w:szCs w:val="21"/>
          <w:lang w:val="en-US" w:eastAsia="zh-CN"/>
        </w:rPr>
        <w:t>5</w:t>
      </w:r>
      <w:r>
        <w:rPr>
          <w:rFonts w:hint="eastAsia" w:ascii="宋体" w:hAnsi="宋体" w:cs="宋体"/>
          <w:b/>
          <w:bCs/>
          <w:color w:val="000000"/>
          <w:szCs w:val="21"/>
        </w:rPr>
        <w:tab/>
      </w:r>
      <w:r>
        <w:rPr>
          <w:rFonts w:hint="eastAsia" w:ascii="宋体" w:hAnsi="宋体" w:cs="宋体"/>
          <w:b/>
          <w:color w:val="000000"/>
          <w:szCs w:val="21"/>
        </w:rPr>
        <w:t>既往</w:t>
      </w:r>
      <w:r>
        <w:rPr>
          <w:rFonts w:hint="eastAsia" w:ascii="宋体" w:hAnsi="宋体" w:cs="宋体"/>
          <w:b/>
          <w:bCs/>
          <w:color w:val="000000"/>
          <w:szCs w:val="21"/>
        </w:rPr>
        <w:t>症</w:t>
      </w:r>
      <w:r>
        <w:rPr>
          <w:rFonts w:ascii="宋体" w:hAnsi="宋体" w:cs="宋体"/>
          <w:b/>
          <w:bCs/>
          <w:color w:val="000000"/>
          <w:szCs w:val="21"/>
        </w:rPr>
        <w:fldChar w:fldCharType="end"/>
      </w:r>
    </w:p>
    <w:p>
      <w:pPr>
        <w:pStyle w:val="26"/>
        <w:ind w:left="945" w:leftChars="450"/>
        <w:rPr>
          <w:rFonts w:hint="eastAsia" w:ascii="宋体" w:hAnsi="宋体"/>
          <w:szCs w:val="21"/>
        </w:rPr>
      </w:pPr>
      <w:r>
        <w:rPr>
          <w:rFonts w:hint="eastAsia" w:ascii="宋体" w:hAnsi="宋体"/>
          <w:szCs w:val="21"/>
        </w:rPr>
        <w:t>（1）商务旅行</w:t>
      </w:r>
    </w:p>
    <w:p>
      <w:pPr>
        <w:pStyle w:val="26"/>
        <w:ind w:left="945" w:leftChars="450"/>
        <w:rPr>
          <w:rFonts w:hint="eastAsia" w:ascii="宋体" w:hAnsi="宋体" w:cs="宋体"/>
          <w:szCs w:val="21"/>
        </w:rPr>
      </w:pPr>
      <w:r>
        <w:rPr>
          <w:rFonts w:hint="eastAsia" w:ascii="宋体" w:hAnsi="宋体"/>
          <w:szCs w:val="21"/>
        </w:rPr>
        <w:t>指被保险</w:t>
      </w:r>
      <w:r>
        <w:rPr>
          <w:rFonts w:ascii="宋体" w:hAnsi="宋体"/>
          <w:szCs w:val="21"/>
        </w:rPr>
        <w:t>人获得被保资格</w:t>
      </w:r>
      <w:r>
        <w:rPr>
          <w:rFonts w:hint="eastAsia" w:ascii="宋体" w:hAnsi="宋体"/>
          <w:szCs w:val="21"/>
        </w:rPr>
        <w:t>前罹患</w:t>
      </w:r>
      <w:r>
        <w:rPr>
          <w:rFonts w:ascii="宋体" w:hAnsi="宋体"/>
          <w:szCs w:val="21"/>
        </w:rPr>
        <w:t>的被保险人</w:t>
      </w:r>
      <w:r>
        <w:rPr>
          <w:rFonts w:hint="eastAsia" w:ascii="宋体" w:hAnsi="宋体"/>
          <w:szCs w:val="21"/>
        </w:rPr>
        <w:t>已知或应该知道的有关</w:t>
      </w:r>
      <w:r>
        <w:rPr>
          <w:rFonts w:hint="eastAsia" w:ascii="宋体" w:hAnsi="宋体" w:cs="宋体"/>
          <w:szCs w:val="21"/>
        </w:rPr>
        <w:t>疾病或症状。包括但不限于：</w:t>
      </w:r>
    </w:p>
    <w:p>
      <w:pPr>
        <w:pStyle w:val="26"/>
        <w:numPr>
          <w:ilvl w:val="0"/>
          <w:numId w:val="3"/>
        </w:numPr>
        <w:ind w:left="1417" w:leftChars="0" w:firstLine="0" w:firstLineChars="0"/>
        <w:rPr>
          <w:rFonts w:hint="eastAsia" w:ascii="宋体" w:hAnsi="宋体" w:cs="宋体"/>
          <w:b/>
          <w:bCs/>
          <w:szCs w:val="21"/>
        </w:rPr>
      </w:pPr>
      <w:r>
        <w:rPr>
          <w:rFonts w:hint="eastAsia" w:ascii="宋体" w:hAnsi="宋体"/>
          <w:b/>
          <w:bCs/>
          <w:szCs w:val="21"/>
        </w:rPr>
        <w:t>被保险人</w:t>
      </w:r>
      <w:r>
        <w:rPr>
          <w:rFonts w:hint="eastAsia" w:ascii="宋体" w:hAnsi="宋体" w:cs="宋体"/>
          <w:b/>
          <w:bCs/>
          <w:szCs w:val="21"/>
        </w:rPr>
        <w:t>获得被保资格前，医生已有明确诊断，长期治疗未间断；</w:t>
      </w:r>
    </w:p>
    <w:p>
      <w:pPr>
        <w:pStyle w:val="26"/>
        <w:numPr>
          <w:ilvl w:val="0"/>
          <w:numId w:val="3"/>
        </w:numPr>
        <w:ind w:left="1417" w:leftChars="0" w:firstLine="0" w:firstLineChars="0"/>
        <w:rPr>
          <w:rFonts w:hint="eastAsia" w:ascii="宋体" w:hAnsi="宋体" w:cs="宋体"/>
          <w:b/>
          <w:bCs/>
          <w:szCs w:val="21"/>
        </w:rPr>
      </w:pPr>
      <w:r>
        <w:rPr>
          <w:rFonts w:hint="eastAsia" w:ascii="宋体" w:hAnsi="宋体"/>
          <w:b/>
          <w:bCs/>
          <w:szCs w:val="21"/>
        </w:rPr>
        <w:t>被保险人</w:t>
      </w:r>
      <w:r>
        <w:rPr>
          <w:rFonts w:hint="eastAsia" w:ascii="宋体" w:hAnsi="宋体" w:cs="宋体"/>
          <w:b/>
          <w:bCs/>
          <w:szCs w:val="21"/>
        </w:rPr>
        <w:t>获得被保资格前，医生已有明确诊断，治疗后症状未完全消失，有间断用药或接受治疗的情况；</w:t>
      </w:r>
    </w:p>
    <w:p>
      <w:pPr>
        <w:pStyle w:val="26"/>
        <w:numPr>
          <w:ilvl w:val="0"/>
          <w:numId w:val="3"/>
        </w:numPr>
        <w:ind w:left="1417" w:leftChars="0" w:firstLine="0" w:firstLineChars="0"/>
        <w:rPr>
          <w:rFonts w:hint="eastAsia" w:ascii="宋体" w:hAnsi="宋体" w:cs="宋体"/>
          <w:b/>
          <w:bCs/>
          <w:szCs w:val="21"/>
        </w:rPr>
      </w:pPr>
      <w:r>
        <w:rPr>
          <w:rFonts w:hint="eastAsia" w:ascii="宋体" w:hAnsi="宋体"/>
          <w:b/>
          <w:bCs/>
          <w:szCs w:val="21"/>
        </w:rPr>
        <w:t>被保险人</w:t>
      </w:r>
      <w:r>
        <w:rPr>
          <w:rFonts w:hint="eastAsia" w:ascii="宋体" w:hAnsi="宋体" w:cs="宋体"/>
          <w:b/>
          <w:bCs/>
          <w:szCs w:val="21"/>
        </w:rPr>
        <w:t>获得被保资格前三十天内发生，未经医生诊断和治疗，但症状已经显现足以促使一般普通谨慎人士引起注意并寻求诊断、治疗或护理的病症。</w:t>
      </w:r>
    </w:p>
    <w:p>
      <w:pPr>
        <w:pStyle w:val="26"/>
        <w:ind w:left="945" w:leftChars="450" w:firstLine="422"/>
        <w:rPr>
          <w:rFonts w:hint="eastAsia" w:ascii="宋体" w:hAnsi="宋体" w:cs="宋体"/>
          <w:b/>
          <w:szCs w:val="21"/>
        </w:rPr>
      </w:pPr>
      <w:r>
        <w:rPr>
          <w:rFonts w:hint="eastAsia" w:ascii="宋体" w:hAnsi="宋体" w:cs="宋体"/>
          <w:b/>
          <w:szCs w:val="21"/>
        </w:rPr>
        <w:t>投保人在投保时告知保险人，经保险人审核同意并在保险单中单独载明不属于既往症的疾病或病症，不属于本保险合同约定的既往症。</w:t>
      </w:r>
    </w:p>
    <w:p>
      <w:pPr>
        <w:pStyle w:val="26"/>
        <w:numPr>
          <w:ilvl w:val="0"/>
          <w:numId w:val="4"/>
        </w:numPr>
        <w:ind w:left="945" w:leftChars="450"/>
        <w:rPr>
          <w:rFonts w:hint="eastAsia" w:ascii="宋体" w:hAnsi="宋体"/>
          <w:bCs/>
          <w:szCs w:val="21"/>
        </w:rPr>
      </w:pPr>
      <w:r>
        <w:rPr>
          <w:rFonts w:hint="eastAsia" w:ascii="宋体" w:hAnsi="宋体"/>
          <w:bCs/>
          <w:szCs w:val="21"/>
        </w:rPr>
        <w:t>其他旅行</w:t>
      </w:r>
    </w:p>
    <w:p>
      <w:pPr>
        <w:pStyle w:val="26"/>
        <w:rPr>
          <w:rFonts w:ascii="宋体" w:hAnsi="宋体"/>
          <w:szCs w:val="21"/>
        </w:rPr>
      </w:pPr>
      <w:r>
        <w:rPr>
          <w:rFonts w:hint="eastAsia" w:ascii="宋体" w:hAnsi="宋体"/>
          <w:szCs w:val="21"/>
        </w:rPr>
        <w:t>指被保险</w:t>
      </w:r>
      <w:r>
        <w:rPr>
          <w:rFonts w:ascii="宋体" w:hAnsi="宋体"/>
          <w:szCs w:val="21"/>
        </w:rPr>
        <w:t>人</w:t>
      </w:r>
      <w:r>
        <w:rPr>
          <w:rFonts w:hint="eastAsia" w:ascii="宋体" w:hAnsi="宋体"/>
          <w:bCs/>
          <w:szCs w:val="21"/>
        </w:rPr>
        <w:t>获得被保资格前</w:t>
      </w:r>
      <w:r>
        <w:rPr>
          <w:rFonts w:hint="eastAsia" w:ascii="宋体" w:hAnsi="宋体"/>
          <w:szCs w:val="21"/>
        </w:rPr>
        <w:t>罹患</w:t>
      </w:r>
      <w:r>
        <w:rPr>
          <w:rFonts w:ascii="宋体" w:hAnsi="宋体"/>
          <w:szCs w:val="21"/>
        </w:rPr>
        <w:t>的被保险人</w:t>
      </w:r>
      <w:r>
        <w:rPr>
          <w:rFonts w:hint="eastAsia" w:ascii="宋体" w:hAnsi="宋体"/>
          <w:szCs w:val="21"/>
        </w:rPr>
        <w:t>已知或应该知道的有关疾病或症状。包括但不限于：</w:t>
      </w:r>
    </w:p>
    <w:p>
      <w:pPr>
        <w:pStyle w:val="26"/>
        <w:numPr>
          <w:ilvl w:val="0"/>
          <w:numId w:val="5"/>
        </w:numPr>
        <w:ind w:left="1417" w:leftChars="0" w:firstLine="0" w:firstLineChars="0"/>
        <w:rPr>
          <w:rFonts w:ascii="宋体" w:hAnsi="宋体"/>
          <w:b/>
          <w:bCs/>
          <w:szCs w:val="21"/>
        </w:rPr>
      </w:pPr>
      <w:r>
        <w:rPr>
          <w:rFonts w:hint="eastAsia" w:ascii="宋体" w:hAnsi="宋体"/>
          <w:b/>
          <w:bCs/>
          <w:szCs w:val="21"/>
        </w:rPr>
        <w:t>被保险人获得被保资格前，医生已有明确诊断，长期治疗未间断；</w:t>
      </w:r>
    </w:p>
    <w:p>
      <w:pPr>
        <w:pStyle w:val="26"/>
        <w:numPr>
          <w:ilvl w:val="0"/>
          <w:numId w:val="5"/>
        </w:numPr>
        <w:ind w:left="1417" w:leftChars="0" w:firstLine="0" w:firstLineChars="0"/>
        <w:rPr>
          <w:rFonts w:ascii="宋体" w:hAnsi="宋体"/>
          <w:b/>
          <w:bCs/>
          <w:szCs w:val="21"/>
        </w:rPr>
      </w:pPr>
      <w:r>
        <w:rPr>
          <w:rFonts w:hint="eastAsia" w:ascii="宋体" w:hAnsi="宋体"/>
          <w:b/>
          <w:bCs/>
          <w:szCs w:val="21"/>
        </w:rPr>
        <w:t>被保险人获得被保资格前，医生已有明确诊断，治疗后症状未完全消失，有间断用药或</w:t>
      </w:r>
      <w:r>
        <w:rPr>
          <w:rFonts w:ascii="宋体" w:hAnsi="宋体"/>
          <w:b/>
          <w:bCs/>
          <w:szCs w:val="21"/>
        </w:rPr>
        <w:t>接受治疗的</w:t>
      </w:r>
      <w:r>
        <w:rPr>
          <w:rFonts w:hint="eastAsia" w:ascii="宋体" w:hAnsi="宋体"/>
          <w:b/>
          <w:bCs/>
          <w:szCs w:val="21"/>
        </w:rPr>
        <w:t>情况；</w:t>
      </w:r>
    </w:p>
    <w:p>
      <w:pPr>
        <w:pStyle w:val="26"/>
        <w:numPr>
          <w:ilvl w:val="0"/>
          <w:numId w:val="5"/>
        </w:numPr>
        <w:ind w:left="1417" w:leftChars="0" w:firstLine="0" w:firstLineChars="0"/>
        <w:rPr>
          <w:rFonts w:ascii="宋体" w:hAnsi="宋体"/>
          <w:b/>
          <w:bCs/>
          <w:szCs w:val="21"/>
        </w:rPr>
      </w:pPr>
      <w:r>
        <w:rPr>
          <w:rFonts w:hint="eastAsia" w:ascii="宋体" w:hAnsi="宋体"/>
          <w:b/>
          <w:bCs/>
          <w:szCs w:val="21"/>
        </w:rPr>
        <w:t>被保险人获得被保资格前两年内发生，未经医生诊断和治疗，但症状已经显现足以促使一般普通谨慎人士引起注意并寻求诊断、治疗或护理的病症。</w:t>
      </w:r>
    </w:p>
    <w:p>
      <w:pPr>
        <w:pStyle w:val="26"/>
        <w:ind w:left="945" w:leftChars="450" w:firstLine="422"/>
      </w:pPr>
      <w:r>
        <w:rPr>
          <w:rFonts w:hint="eastAsia" w:ascii="宋体" w:hAnsi="宋体" w:cs="宋体"/>
          <w:b/>
          <w:szCs w:val="21"/>
        </w:rPr>
        <w:t>投保人</w:t>
      </w:r>
      <w:r>
        <w:rPr>
          <w:rFonts w:hint="eastAsia" w:ascii="宋体" w:hAnsi="宋体"/>
          <w:b/>
          <w:bCs/>
          <w:szCs w:val="21"/>
        </w:rPr>
        <w:t>在投保时告知保险人，经保险人审核同意并在保险单中单独载明不属于既往症的疾病或病症，不属于本保险合同约定</w:t>
      </w:r>
      <w:r>
        <w:rPr>
          <w:rFonts w:hint="eastAsia" w:ascii="宋体" w:hAnsi="宋体"/>
          <w:b/>
          <w:szCs w:val="21"/>
        </w:rPr>
        <w:t>的既往症。</w:t>
      </w:r>
    </w:p>
    <w:p>
      <w:pPr>
        <w:keepNext/>
        <w:keepLines/>
        <w:tabs>
          <w:tab w:val="left" w:pos="945"/>
        </w:tabs>
        <w:outlineLvl w:val="1"/>
        <w:rPr>
          <w:rFonts w:ascii="宋体" w:hAnsi="宋体" w:cs="宋体"/>
          <w:b/>
          <w:bCs/>
          <w:color w:val="000000"/>
          <w:szCs w:val="21"/>
        </w:rPr>
      </w:pPr>
      <w:r>
        <w:rPr>
          <w:rFonts w:hint="eastAsia" w:ascii="宋体" w:hAnsi="宋体" w:cs="宋体"/>
          <w:b/>
          <w:bCs/>
          <w:color w:val="000000"/>
          <w:szCs w:val="21"/>
        </w:rPr>
        <w:t>4.</w:t>
      </w:r>
      <w:r>
        <w:rPr>
          <w:rFonts w:hint="eastAsia" w:ascii="宋体" w:hAnsi="宋体" w:cs="宋体"/>
          <w:b/>
          <w:bCs/>
          <w:color w:val="000000"/>
          <w:szCs w:val="21"/>
          <w:lang w:val="en-US" w:eastAsia="zh-CN"/>
        </w:rPr>
        <w:t>6</w:t>
      </w:r>
      <w:r>
        <w:rPr>
          <w:rFonts w:hint="eastAsia" w:ascii="宋体" w:hAnsi="宋体" w:cs="宋体"/>
          <w:b/>
          <w:bCs/>
          <w:color w:val="000000"/>
          <w:szCs w:val="21"/>
        </w:rPr>
        <w:t xml:space="preserve">     </w:t>
      </w:r>
      <w:r>
        <w:rPr>
          <w:rFonts w:hint="eastAsia" w:ascii="宋体" w:hAnsi="宋体" w:cs="宋体"/>
          <w:b/>
          <w:color w:val="000000"/>
          <w:szCs w:val="21"/>
        </w:rPr>
        <w:t>传染病</w:t>
      </w:r>
    </w:p>
    <w:p>
      <w:pPr>
        <w:pStyle w:val="26"/>
        <w:rPr>
          <w:rFonts w:hint="eastAsia"/>
        </w:rPr>
      </w:pPr>
      <w:r>
        <w:rPr>
          <w:rFonts w:ascii="宋体" w:hAnsi="宋体"/>
          <w:szCs w:val="21"/>
        </w:rPr>
        <w:t>是指《中华人民共和国传染病防治法》规定的甲、乙、丙类传染病，以及国务院卫生行政部门决定并予以公布的其他传染病。</w:t>
      </w:r>
    </w:p>
    <w:p>
      <w:pPr>
        <w:pStyle w:val="26"/>
        <w:ind w:left="0" w:leftChars="0" w:firstLine="0" w:firstLineChars="0"/>
        <w:rPr>
          <w:rStyle w:val="20"/>
          <w:color w:val="auto"/>
          <w:u w:val="none"/>
        </w:rPr>
      </w:pPr>
      <w:r>
        <w:rPr>
          <w:rStyle w:val="20"/>
          <w:color w:val="auto"/>
          <w:u w:val="none"/>
        </w:rPr>
        <w:fldChar w:fldCharType="begin"/>
      </w:r>
      <w:r>
        <w:rPr>
          <w:rStyle w:val="20"/>
          <w:color w:val="auto"/>
          <w:u w:val="none"/>
        </w:rPr>
        <w:instrText xml:space="preserve"> HYPERLINK  \l "_5_保险金申请与给付" </w:instrText>
      </w:r>
      <w:r>
        <w:rPr>
          <w:rStyle w:val="20"/>
          <w:color w:val="auto"/>
          <w:u w:val="none"/>
        </w:rPr>
        <w:fldChar w:fldCharType="separate"/>
      </w:r>
      <w:r>
        <w:rPr>
          <w:rStyle w:val="20"/>
          <w:rFonts w:hint="eastAsia"/>
          <w:color w:val="auto"/>
          <w:u w:val="none"/>
          <w:lang w:val="en-US" w:eastAsia="zh-CN"/>
        </w:rPr>
        <w:t>4</w:t>
      </w:r>
      <w:r>
        <w:rPr>
          <w:rStyle w:val="20"/>
          <w:rFonts w:asciiTheme="minorEastAsia" w:hAnsiTheme="minorEastAsia" w:eastAsiaTheme="minorEastAsia" w:cstheme="minorEastAsia"/>
          <w:b/>
          <w:bCs/>
          <w:color w:val="auto"/>
          <w:szCs w:val="21"/>
          <w:u w:val="none"/>
        </w:rPr>
        <w:t>.</w:t>
      </w:r>
      <w:r>
        <w:rPr>
          <w:rStyle w:val="20"/>
          <w:rFonts w:hint="eastAsia" w:asciiTheme="minorEastAsia" w:hAnsiTheme="minorEastAsia" w:eastAsiaTheme="minorEastAsia" w:cstheme="minorEastAsia"/>
          <w:b/>
          <w:bCs/>
          <w:color w:val="auto"/>
          <w:szCs w:val="21"/>
          <w:u w:val="none"/>
          <w:lang w:val="en-US" w:eastAsia="zh-CN"/>
        </w:rPr>
        <w:t xml:space="preserve">7 </w:t>
      </w:r>
      <w:r>
        <w:rPr>
          <w:rStyle w:val="20"/>
          <w:rFonts w:asciiTheme="minorEastAsia" w:hAnsiTheme="minorEastAsia" w:eastAsiaTheme="minorEastAsia" w:cstheme="minorEastAsia"/>
          <w:b/>
          <w:bCs/>
          <w:color w:val="auto"/>
          <w:szCs w:val="21"/>
          <w:u w:val="none"/>
        </w:rPr>
        <w:tab/>
      </w:r>
      <w:r>
        <w:rPr>
          <w:rStyle w:val="20"/>
          <w:rFonts w:hint="eastAsia" w:asciiTheme="minorEastAsia" w:hAnsiTheme="minorEastAsia" w:eastAsiaTheme="minorEastAsia" w:cstheme="minorEastAsia"/>
          <w:b/>
          <w:bCs/>
          <w:color w:val="auto"/>
          <w:szCs w:val="21"/>
          <w:u w:val="none"/>
        </w:rPr>
        <w:t>保险金申请人</w:t>
      </w:r>
    </w:p>
    <w:p>
      <w:pPr>
        <w:pStyle w:val="26"/>
        <w:rPr>
          <w:rFonts w:asciiTheme="minorEastAsia" w:hAnsiTheme="minorEastAsia" w:eastAsiaTheme="minorEastAsia"/>
          <w:szCs w:val="21"/>
        </w:rPr>
      </w:pPr>
      <w:r>
        <w:rPr>
          <w:rStyle w:val="20"/>
          <w:rFonts w:asciiTheme="minorEastAsia" w:hAnsiTheme="minorEastAsia" w:eastAsiaTheme="minorEastAsia" w:cstheme="minorEastAsia"/>
          <w:b/>
          <w:bCs/>
          <w:color w:val="auto"/>
          <w:szCs w:val="21"/>
          <w:u w:val="none"/>
        </w:rPr>
        <w:fldChar w:fldCharType="end"/>
      </w:r>
      <w:r>
        <w:rPr>
          <w:rFonts w:hint="eastAsia" w:asciiTheme="minorEastAsia" w:hAnsiTheme="minorEastAsia" w:eastAsiaTheme="minorEastAsia"/>
          <w:szCs w:val="21"/>
        </w:rPr>
        <w:t>除另有约定</w:t>
      </w:r>
      <w:r>
        <w:rPr>
          <w:rFonts w:asciiTheme="minorEastAsia" w:hAnsiTheme="minorEastAsia" w:eastAsiaTheme="minorEastAsia"/>
          <w:szCs w:val="21"/>
        </w:rPr>
        <w:t>外，</w:t>
      </w:r>
      <w:r>
        <w:rPr>
          <w:rFonts w:hint="eastAsia" w:asciiTheme="minorEastAsia" w:hAnsiTheme="minorEastAsia" w:eastAsiaTheme="minorEastAsia"/>
          <w:szCs w:val="21"/>
        </w:rPr>
        <w:t>身故保险金申请人是指受益人或被保险人的继承人或依法享有保险金请求权的其他自然人</w:t>
      </w:r>
      <w:bookmarkStart w:id="6" w:name="_4.9_既往症"/>
      <w:bookmarkEnd w:id="6"/>
      <w:bookmarkStart w:id="7" w:name="_4.6_高风险运动"/>
      <w:bookmarkEnd w:id="7"/>
      <w:r>
        <w:rPr>
          <w:rFonts w:hint="eastAsia" w:asciiTheme="minorEastAsia" w:hAnsiTheme="minorEastAsia" w:eastAsiaTheme="minorEastAsia"/>
          <w:szCs w:val="21"/>
        </w:rPr>
        <w:t>。</w:t>
      </w:r>
    </w:p>
    <w:p>
      <w:pPr>
        <w:pStyle w:val="26"/>
        <w:ind w:left="945" w:leftChars="450"/>
        <w:rPr>
          <w:rFonts w:asciiTheme="minorEastAsia" w:hAnsiTheme="minorEastAsia" w:eastAsiaTheme="minorEastAsia"/>
          <w:szCs w:val="21"/>
        </w:rPr>
      </w:pPr>
    </w:p>
    <w:sectPr>
      <w:footerReference r:id="rId3" w:type="default"/>
      <w:footerReference r:id="rId4" w:type="even"/>
      <w:pgSz w:w="11906" w:h="16838"/>
      <w:pgMar w:top="1440" w:right="1797" w:bottom="1440" w:left="1797" w:header="851" w:footer="1057" w:gutter="0"/>
      <w:cols w:space="420" w:num="1"/>
      <w:docGrid w:type="lines" w:linePitch="312" w:charSpace="22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243106439"/>
      <w:docPartObj>
        <w:docPartGallery w:val="autotext"/>
      </w:docPartObj>
    </w:sdtPr>
    <w:sdtEndPr>
      <w:rPr>
        <w:sz w:val="16"/>
        <w:szCs w:val="16"/>
      </w:rPr>
    </w:sdtEndPr>
    <w:sdtContent>
      <w:sdt>
        <w:sdtPr>
          <w:rPr>
            <w:sz w:val="16"/>
            <w:szCs w:val="16"/>
          </w:rPr>
          <w:id w:val="1728636285"/>
          <w:docPartObj>
            <w:docPartGallery w:val="autotext"/>
          </w:docPartObj>
        </w:sdtPr>
        <w:sdtEndPr>
          <w:rPr>
            <w:sz w:val="16"/>
            <w:szCs w:val="16"/>
          </w:rPr>
        </w:sdtEndPr>
        <w:sdtContent>
          <w:p>
            <w:pPr>
              <w:pStyle w:val="8"/>
              <w:jc w:val="center"/>
              <w:rPr>
                <w:sz w:val="16"/>
                <w:szCs w:val="16"/>
              </w:rPr>
            </w:pPr>
            <w:r>
              <w:rPr>
                <w:sz w:val="16"/>
                <w:szCs w:val="16"/>
                <w:lang w:val="zh-CN"/>
              </w:rPr>
              <w:t xml:space="preserve"> </w:t>
            </w:r>
            <w:r>
              <w:rPr>
                <w:bCs/>
                <w:sz w:val="16"/>
                <w:szCs w:val="16"/>
              </w:rPr>
              <w:fldChar w:fldCharType="begin"/>
            </w:r>
            <w:r>
              <w:rPr>
                <w:bCs/>
                <w:sz w:val="16"/>
                <w:szCs w:val="16"/>
              </w:rPr>
              <w:instrText xml:space="preserve">PAGE</w:instrText>
            </w:r>
            <w:r>
              <w:rPr>
                <w:bCs/>
                <w:sz w:val="16"/>
                <w:szCs w:val="16"/>
              </w:rPr>
              <w:fldChar w:fldCharType="separate"/>
            </w:r>
            <w:r>
              <w:rPr>
                <w:bCs/>
                <w:sz w:val="16"/>
                <w:szCs w:val="16"/>
              </w:rPr>
              <w:t>7</w:t>
            </w:r>
            <w:r>
              <w:rPr>
                <w:bCs/>
                <w:sz w:val="16"/>
                <w:szCs w:val="16"/>
              </w:rPr>
              <w:fldChar w:fldCharType="end"/>
            </w:r>
            <w:r>
              <w:rPr>
                <w:sz w:val="16"/>
                <w:szCs w:val="16"/>
                <w:lang w:val="zh-CN"/>
              </w:rPr>
              <w:t xml:space="preserve"> / </w:t>
            </w:r>
            <w:r>
              <w:rPr>
                <w:bCs/>
                <w:sz w:val="16"/>
                <w:szCs w:val="16"/>
              </w:rPr>
              <w:fldChar w:fldCharType="begin"/>
            </w:r>
            <w:r>
              <w:rPr>
                <w:bCs/>
                <w:sz w:val="16"/>
                <w:szCs w:val="16"/>
              </w:rPr>
              <w:instrText xml:space="preserve">NUMPAGES</w:instrText>
            </w:r>
            <w:r>
              <w:rPr>
                <w:bCs/>
                <w:sz w:val="16"/>
                <w:szCs w:val="16"/>
              </w:rPr>
              <w:fldChar w:fldCharType="separate"/>
            </w:r>
            <w:r>
              <w:rPr>
                <w:bCs/>
                <w:sz w:val="16"/>
                <w:szCs w:val="16"/>
              </w:rPr>
              <w:t>7</w:t>
            </w:r>
            <w:r>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03E0"/>
    <w:multiLevelType w:val="multilevel"/>
    <w:tmpl w:val="524203E0"/>
    <w:lvl w:ilvl="0" w:tentative="0">
      <w:start w:val="1"/>
      <w:numFmt w:val="decimal"/>
      <w:lvlText w:val="（%1）"/>
      <w:lvlJc w:val="left"/>
      <w:pPr>
        <w:ind w:left="1992" w:hanging="420"/>
      </w:pPr>
      <w:rPr>
        <w:rFonts w:hint="default"/>
      </w:rPr>
    </w:lvl>
    <w:lvl w:ilvl="1" w:tentative="0">
      <w:start w:val="1"/>
      <w:numFmt w:val="lowerLetter"/>
      <w:lvlText w:val="%2)"/>
      <w:lvlJc w:val="left"/>
      <w:pPr>
        <w:ind w:left="1655" w:hanging="420"/>
      </w:pPr>
    </w:lvl>
    <w:lvl w:ilvl="2" w:tentative="0">
      <w:start w:val="1"/>
      <w:numFmt w:val="lowerRoman"/>
      <w:lvlText w:val="%3."/>
      <w:lvlJc w:val="right"/>
      <w:pPr>
        <w:ind w:left="2075" w:hanging="420"/>
      </w:pPr>
    </w:lvl>
    <w:lvl w:ilvl="3" w:tentative="0">
      <w:start w:val="1"/>
      <w:numFmt w:val="decimal"/>
      <w:lvlText w:val="%4."/>
      <w:lvlJc w:val="left"/>
      <w:pPr>
        <w:ind w:left="2495" w:hanging="420"/>
      </w:pPr>
    </w:lvl>
    <w:lvl w:ilvl="4" w:tentative="0">
      <w:start w:val="1"/>
      <w:numFmt w:val="lowerLetter"/>
      <w:lvlText w:val="%5)"/>
      <w:lvlJc w:val="left"/>
      <w:pPr>
        <w:ind w:left="2915" w:hanging="420"/>
      </w:pPr>
    </w:lvl>
    <w:lvl w:ilvl="5" w:tentative="0">
      <w:start w:val="1"/>
      <w:numFmt w:val="lowerRoman"/>
      <w:lvlText w:val="%6."/>
      <w:lvlJc w:val="right"/>
      <w:pPr>
        <w:ind w:left="3335" w:hanging="420"/>
      </w:pPr>
    </w:lvl>
    <w:lvl w:ilvl="6" w:tentative="0">
      <w:start w:val="1"/>
      <w:numFmt w:val="decimal"/>
      <w:lvlText w:val="%7."/>
      <w:lvlJc w:val="left"/>
      <w:pPr>
        <w:ind w:left="3755" w:hanging="420"/>
      </w:pPr>
    </w:lvl>
    <w:lvl w:ilvl="7" w:tentative="0">
      <w:start w:val="1"/>
      <w:numFmt w:val="lowerLetter"/>
      <w:lvlText w:val="%8)"/>
      <w:lvlJc w:val="left"/>
      <w:pPr>
        <w:ind w:left="4175" w:hanging="420"/>
      </w:pPr>
    </w:lvl>
    <w:lvl w:ilvl="8" w:tentative="0">
      <w:start w:val="1"/>
      <w:numFmt w:val="lowerRoman"/>
      <w:lvlText w:val="%9."/>
      <w:lvlJc w:val="right"/>
      <w:pPr>
        <w:ind w:left="4595" w:hanging="420"/>
      </w:pPr>
    </w:lvl>
  </w:abstractNum>
  <w:abstractNum w:abstractNumId="1">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2">
    <w:nsid w:val="5F20143C"/>
    <w:multiLevelType w:val="singleLevel"/>
    <w:tmpl w:val="5F20143C"/>
    <w:lvl w:ilvl="0" w:tentative="0">
      <w:start w:val="2"/>
      <w:numFmt w:val="decimal"/>
      <w:suff w:val="nothing"/>
      <w:lvlText w:val="（%1）"/>
      <w:lvlJc w:val="left"/>
    </w:lvl>
  </w:abstractNum>
  <w:abstractNum w:abstractNumId="3">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4">
    <w:nsid w:val="6DB20E25"/>
    <w:multiLevelType w:val="singleLevel"/>
    <w:tmpl w:val="6DB20E25"/>
    <w:lvl w:ilvl="0" w:tentative="0">
      <w:start w:val="1"/>
      <w:numFmt w:val="decimal"/>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4942"/>
    <w:rsid w:val="00015059"/>
    <w:rsid w:val="00016389"/>
    <w:rsid w:val="000325EA"/>
    <w:rsid w:val="00040734"/>
    <w:rsid w:val="00041219"/>
    <w:rsid w:val="00043705"/>
    <w:rsid w:val="0004719C"/>
    <w:rsid w:val="00050F37"/>
    <w:rsid w:val="000522BA"/>
    <w:rsid w:val="00052E06"/>
    <w:rsid w:val="00053998"/>
    <w:rsid w:val="0005672F"/>
    <w:rsid w:val="000655A4"/>
    <w:rsid w:val="0006595A"/>
    <w:rsid w:val="00072122"/>
    <w:rsid w:val="00073ED4"/>
    <w:rsid w:val="00080A8F"/>
    <w:rsid w:val="0008107E"/>
    <w:rsid w:val="00083859"/>
    <w:rsid w:val="0009434A"/>
    <w:rsid w:val="0009460B"/>
    <w:rsid w:val="00094D36"/>
    <w:rsid w:val="000B5F31"/>
    <w:rsid w:val="000B6044"/>
    <w:rsid w:val="000C075F"/>
    <w:rsid w:val="000C4BD1"/>
    <w:rsid w:val="000C4DFC"/>
    <w:rsid w:val="000D1328"/>
    <w:rsid w:val="000D2A48"/>
    <w:rsid w:val="000D7055"/>
    <w:rsid w:val="000E1B33"/>
    <w:rsid w:val="000E251C"/>
    <w:rsid w:val="000E5D25"/>
    <w:rsid w:val="000E7928"/>
    <w:rsid w:val="000F0445"/>
    <w:rsid w:val="000F2B5D"/>
    <w:rsid w:val="000F34B5"/>
    <w:rsid w:val="000F380E"/>
    <w:rsid w:val="000F638A"/>
    <w:rsid w:val="000F710B"/>
    <w:rsid w:val="001004D9"/>
    <w:rsid w:val="001010EF"/>
    <w:rsid w:val="00103248"/>
    <w:rsid w:val="00105FD3"/>
    <w:rsid w:val="00113767"/>
    <w:rsid w:val="00114743"/>
    <w:rsid w:val="001160B6"/>
    <w:rsid w:val="0011744D"/>
    <w:rsid w:val="001219ED"/>
    <w:rsid w:val="00122C0D"/>
    <w:rsid w:val="0012366C"/>
    <w:rsid w:val="00125179"/>
    <w:rsid w:val="001302F0"/>
    <w:rsid w:val="00130A25"/>
    <w:rsid w:val="0013588A"/>
    <w:rsid w:val="00135E74"/>
    <w:rsid w:val="00137E55"/>
    <w:rsid w:val="00143221"/>
    <w:rsid w:val="00155795"/>
    <w:rsid w:val="00155A5C"/>
    <w:rsid w:val="00161A2A"/>
    <w:rsid w:val="0016214C"/>
    <w:rsid w:val="001638DC"/>
    <w:rsid w:val="0016533C"/>
    <w:rsid w:val="00165CD2"/>
    <w:rsid w:val="00166AB5"/>
    <w:rsid w:val="00174DD9"/>
    <w:rsid w:val="001800EF"/>
    <w:rsid w:val="00182EC0"/>
    <w:rsid w:val="0018346B"/>
    <w:rsid w:val="00191002"/>
    <w:rsid w:val="00191FCA"/>
    <w:rsid w:val="00192AE5"/>
    <w:rsid w:val="00194A6D"/>
    <w:rsid w:val="001952CC"/>
    <w:rsid w:val="0019784A"/>
    <w:rsid w:val="001A45FF"/>
    <w:rsid w:val="001A5C12"/>
    <w:rsid w:val="001A73B7"/>
    <w:rsid w:val="001A7575"/>
    <w:rsid w:val="001A7C8F"/>
    <w:rsid w:val="001B130B"/>
    <w:rsid w:val="001B155B"/>
    <w:rsid w:val="001B49F4"/>
    <w:rsid w:val="001B6F99"/>
    <w:rsid w:val="001C610F"/>
    <w:rsid w:val="001D0927"/>
    <w:rsid w:val="001D2409"/>
    <w:rsid w:val="001D4F29"/>
    <w:rsid w:val="001D592D"/>
    <w:rsid w:val="001D59AC"/>
    <w:rsid w:val="001D703F"/>
    <w:rsid w:val="001E23A4"/>
    <w:rsid w:val="001E26D2"/>
    <w:rsid w:val="001E45F1"/>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13C2"/>
    <w:rsid w:val="00222192"/>
    <w:rsid w:val="00227B7E"/>
    <w:rsid w:val="00232DE1"/>
    <w:rsid w:val="00236741"/>
    <w:rsid w:val="00236FD8"/>
    <w:rsid w:val="00244390"/>
    <w:rsid w:val="00245409"/>
    <w:rsid w:val="00247E2A"/>
    <w:rsid w:val="00250BA5"/>
    <w:rsid w:val="00251ACA"/>
    <w:rsid w:val="00262EB3"/>
    <w:rsid w:val="00263C5E"/>
    <w:rsid w:val="00264270"/>
    <w:rsid w:val="00265E00"/>
    <w:rsid w:val="00266A3C"/>
    <w:rsid w:val="00266A55"/>
    <w:rsid w:val="002673B6"/>
    <w:rsid w:val="00270036"/>
    <w:rsid w:val="00271FF5"/>
    <w:rsid w:val="00273963"/>
    <w:rsid w:val="0027397F"/>
    <w:rsid w:val="0027741F"/>
    <w:rsid w:val="0029023A"/>
    <w:rsid w:val="00290B21"/>
    <w:rsid w:val="00290CE5"/>
    <w:rsid w:val="00296FE2"/>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476F"/>
    <w:rsid w:val="002C4D28"/>
    <w:rsid w:val="002C55CC"/>
    <w:rsid w:val="002C6F14"/>
    <w:rsid w:val="002D1CE0"/>
    <w:rsid w:val="002D2DD7"/>
    <w:rsid w:val="002D3661"/>
    <w:rsid w:val="002D3F72"/>
    <w:rsid w:val="002D4CC2"/>
    <w:rsid w:val="002E13A4"/>
    <w:rsid w:val="002E1BE2"/>
    <w:rsid w:val="002E4D2C"/>
    <w:rsid w:val="002E4E78"/>
    <w:rsid w:val="002E4FAD"/>
    <w:rsid w:val="002E7721"/>
    <w:rsid w:val="002E79EC"/>
    <w:rsid w:val="002F20CA"/>
    <w:rsid w:val="002F2326"/>
    <w:rsid w:val="002F5797"/>
    <w:rsid w:val="003004B0"/>
    <w:rsid w:val="00302234"/>
    <w:rsid w:val="00303B2C"/>
    <w:rsid w:val="00307244"/>
    <w:rsid w:val="00307638"/>
    <w:rsid w:val="00314592"/>
    <w:rsid w:val="003178F4"/>
    <w:rsid w:val="00327DF9"/>
    <w:rsid w:val="00327FFA"/>
    <w:rsid w:val="00330591"/>
    <w:rsid w:val="00333D6A"/>
    <w:rsid w:val="00334E53"/>
    <w:rsid w:val="003422A0"/>
    <w:rsid w:val="00342828"/>
    <w:rsid w:val="0034330D"/>
    <w:rsid w:val="003553FD"/>
    <w:rsid w:val="00355A45"/>
    <w:rsid w:val="00360F10"/>
    <w:rsid w:val="00361036"/>
    <w:rsid w:val="0036145E"/>
    <w:rsid w:val="0036328F"/>
    <w:rsid w:val="00363F39"/>
    <w:rsid w:val="00372DAF"/>
    <w:rsid w:val="003730AA"/>
    <w:rsid w:val="00373187"/>
    <w:rsid w:val="003744F9"/>
    <w:rsid w:val="00376C05"/>
    <w:rsid w:val="0038447B"/>
    <w:rsid w:val="00385F0B"/>
    <w:rsid w:val="0038693A"/>
    <w:rsid w:val="003917CE"/>
    <w:rsid w:val="00392739"/>
    <w:rsid w:val="00395D2B"/>
    <w:rsid w:val="003A1427"/>
    <w:rsid w:val="003A1D12"/>
    <w:rsid w:val="003A288E"/>
    <w:rsid w:val="003A2982"/>
    <w:rsid w:val="003A556F"/>
    <w:rsid w:val="003A628A"/>
    <w:rsid w:val="003A6415"/>
    <w:rsid w:val="003A75E1"/>
    <w:rsid w:val="003B1FE0"/>
    <w:rsid w:val="003B3D7C"/>
    <w:rsid w:val="003C19F2"/>
    <w:rsid w:val="003D21A0"/>
    <w:rsid w:val="003D249E"/>
    <w:rsid w:val="003D4ACC"/>
    <w:rsid w:val="003D592B"/>
    <w:rsid w:val="003D5B01"/>
    <w:rsid w:val="003D5D60"/>
    <w:rsid w:val="003F2B38"/>
    <w:rsid w:val="003F50F1"/>
    <w:rsid w:val="003F5584"/>
    <w:rsid w:val="003F56BB"/>
    <w:rsid w:val="003F59E1"/>
    <w:rsid w:val="003F6156"/>
    <w:rsid w:val="004025DE"/>
    <w:rsid w:val="00402DA1"/>
    <w:rsid w:val="00404B88"/>
    <w:rsid w:val="00410833"/>
    <w:rsid w:val="00410A08"/>
    <w:rsid w:val="00411AC1"/>
    <w:rsid w:val="004170BD"/>
    <w:rsid w:val="00422D8B"/>
    <w:rsid w:val="00427ED7"/>
    <w:rsid w:val="00431B80"/>
    <w:rsid w:val="00433775"/>
    <w:rsid w:val="004345AB"/>
    <w:rsid w:val="0043607E"/>
    <w:rsid w:val="00436B1D"/>
    <w:rsid w:val="004409B3"/>
    <w:rsid w:val="00445B71"/>
    <w:rsid w:val="00455475"/>
    <w:rsid w:val="00455CB6"/>
    <w:rsid w:val="00461FA0"/>
    <w:rsid w:val="00464B09"/>
    <w:rsid w:val="00470121"/>
    <w:rsid w:val="00471150"/>
    <w:rsid w:val="004725D7"/>
    <w:rsid w:val="004743C3"/>
    <w:rsid w:val="00474A57"/>
    <w:rsid w:val="00475CA0"/>
    <w:rsid w:val="00476F35"/>
    <w:rsid w:val="00481DB7"/>
    <w:rsid w:val="00483444"/>
    <w:rsid w:val="0049075D"/>
    <w:rsid w:val="004913B0"/>
    <w:rsid w:val="00494ECB"/>
    <w:rsid w:val="0049563F"/>
    <w:rsid w:val="00497734"/>
    <w:rsid w:val="00497EAF"/>
    <w:rsid w:val="004A25B7"/>
    <w:rsid w:val="004A4B9C"/>
    <w:rsid w:val="004A75D3"/>
    <w:rsid w:val="004A79CA"/>
    <w:rsid w:val="004B1047"/>
    <w:rsid w:val="004B139E"/>
    <w:rsid w:val="004B2A59"/>
    <w:rsid w:val="004C32C8"/>
    <w:rsid w:val="004C4128"/>
    <w:rsid w:val="004C4A4F"/>
    <w:rsid w:val="004C6874"/>
    <w:rsid w:val="004C6907"/>
    <w:rsid w:val="004D1555"/>
    <w:rsid w:val="004D2A2D"/>
    <w:rsid w:val="004D2E56"/>
    <w:rsid w:val="004D38B7"/>
    <w:rsid w:val="004D3CF1"/>
    <w:rsid w:val="004D5E8C"/>
    <w:rsid w:val="004E2199"/>
    <w:rsid w:val="004E6AC4"/>
    <w:rsid w:val="004F13E5"/>
    <w:rsid w:val="004F2D6A"/>
    <w:rsid w:val="004F458B"/>
    <w:rsid w:val="004F45F0"/>
    <w:rsid w:val="004F4EF3"/>
    <w:rsid w:val="00500C21"/>
    <w:rsid w:val="005109A8"/>
    <w:rsid w:val="005140EB"/>
    <w:rsid w:val="00514913"/>
    <w:rsid w:val="00517305"/>
    <w:rsid w:val="005236D7"/>
    <w:rsid w:val="00525A9C"/>
    <w:rsid w:val="00527E03"/>
    <w:rsid w:val="00532244"/>
    <w:rsid w:val="00532765"/>
    <w:rsid w:val="00535B81"/>
    <w:rsid w:val="00537D1B"/>
    <w:rsid w:val="005435E3"/>
    <w:rsid w:val="0054678E"/>
    <w:rsid w:val="00547DE7"/>
    <w:rsid w:val="00555C3A"/>
    <w:rsid w:val="00556BF5"/>
    <w:rsid w:val="005604BE"/>
    <w:rsid w:val="00562E3E"/>
    <w:rsid w:val="005646C3"/>
    <w:rsid w:val="00567B96"/>
    <w:rsid w:val="00567E17"/>
    <w:rsid w:val="005700DC"/>
    <w:rsid w:val="0058133E"/>
    <w:rsid w:val="00582838"/>
    <w:rsid w:val="00584C0E"/>
    <w:rsid w:val="00591CB9"/>
    <w:rsid w:val="005935A3"/>
    <w:rsid w:val="005948C3"/>
    <w:rsid w:val="00596E1D"/>
    <w:rsid w:val="005A1837"/>
    <w:rsid w:val="005A1D18"/>
    <w:rsid w:val="005A553F"/>
    <w:rsid w:val="005A7468"/>
    <w:rsid w:val="005B001D"/>
    <w:rsid w:val="005B0093"/>
    <w:rsid w:val="005B0273"/>
    <w:rsid w:val="005B5C2F"/>
    <w:rsid w:val="005B779E"/>
    <w:rsid w:val="005C6C6C"/>
    <w:rsid w:val="005C73B6"/>
    <w:rsid w:val="005D3CC0"/>
    <w:rsid w:val="005D3E31"/>
    <w:rsid w:val="005D4BB3"/>
    <w:rsid w:val="005D6673"/>
    <w:rsid w:val="005D6962"/>
    <w:rsid w:val="005D6DE9"/>
    <w:rsid w:val="005D6FC4"/>
    <w:rsid w:val="005E0383"/>
    <w:rsid w:val="005E096B"/>
    <w:rsid w:val="005E3DA4"/>
    <w:rsid w:val="005E3E3C"/>
    <w:rsid w:val="005E5D7B"/>
    <w:rsid w:val="005E6FE2"/>
    <w:rsid w:val="005F04E5"/>
    <w:rsid w:val="005F204F"/>
    <w:rsid w:val="005F7E4A"/>
    <w:rsid w:val="006022DF"/>
    <w:rsid w:val="00604F70"/>
    <w:rsid w:val="0060745D"/>
    <w:rsid w:val="00610F34"/>
    <w:rsid w:val="00612011"/>
    <w:rsid w:val="00614289"/>
    <w:rsid w:val="006157C5"/>
    <w:rsid w:val="006165FE"/>
    <w:rsid w:val="006178A5"/>
    <w:rsid w:val="0062065A"/>
    <w:rsid w:val="00623881"/>
    <w:rsid w:val="0062465F"/>
    <w:rsid w:val="00627CB2"/>
    <w:rsid w:val="006336B4"/>
    <w:rsid w:val="0063381A"/>
    <w:rsid w:val="00634E54"/>
    <w:rsid w:val="00634F81"/>
    <w:rsid w:val="006351F1"/>
    <w:rsid w:val="00636B69"/>
    <w:rsid w:val="0063740F"/>
    <w:rsid w:val="00642252"/>
    <w:rsid w:val="0064255B"/>
    <w:rsid w:val="00644BD3"/>
    <w:rsid w:val="006556FD"/>
    <w:rsid w:val="00657EC1"/>
    <w:rsid w:val="006600FB"/>
    <w:rsid w:val="00662359"/>
    <w:rsid w:val="00663242"/>
    <w:rsid w:val="00663B24"/>
    <w:rsid w:val="00664508"/>
    <w:rsid w:val="00665B2A"/>
    <w:rsid w:val="00672E76"/>
    <w:rsid w:val="00674265"/>
    <w:rsid w:val="0068236F"/>
    <w:rsid w:val="00683E97"/>
    <w:rsid w:val="00685258"/>
    <w:rsid w:val="00686EEB"/>
    <w:rsid w:val="00687362"/>
    <w:rsid w:val="006873A2"/>
    <w:rsid w:val="006A5012"/>
    <w:rsid w:val="006B13A5"/>
    <w:rsid w:val="006B1EC7"/>
    <w:rsid w:val="006B2C69"/>
    <w:rsid w:val="006B7B02"/>
    <w:rsid w:val="006C2EBB"/>
    <w:rsid w:val="006C45AD"/>
    <w:rsid w:val="006C46B7"/>
    <w:rsid w:val="006C6CDF"/>
    <w:rsid w:val="006C6D36"/>
    <w:rsid w:val="006D1A3C"/>
    <w:rsid w:val="006D23A3"/>
    <w:rsid w:val="006D3E21"/>
    <w:rsid w:val="006D4E51"/>
    <w:rsid w:val="006D5848"/>
    <w:rsid w:val="006D7767"/>
    <w:rsid w:val="006D7B60"/>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415E5"/>
    <w:rsid w:val="00741A30"/>
    <w:rsid w:val="00742E9A"/>
    <w:rsid w:val="00745399"/>
    <w:rsid w:val="00747532"/>
    <w:rsid w:val="00753024"/>
    <w:rsid w:val="00753A99"/>
    <w:rsid w:val="00755263"/>
    <w:rsid w:val="0076239C"/>
    <w:rsid w:val="00762979"/>
    <w:rsid w:val="007640FC"/>
    <w:rsid w:val="00765175"/>
    <w:rsid w:val="00773926"/>
    <w:rsid w:val="007739CC"/>
    <w:rsid w:val="00775708"/>
    <w:rsid w:val="00776573"/>
    <w:rsid w:val="00776A4A"/>
    <w:rsid w:val="0078005E"/>
    <w:rsid w:val="007815ED"/>
    <w:rsid w:val="007824EB"/>
    <w:rsid w:val="00782AF6"/>
    <w:rsid w:val="00783263"/>
    <w:rsid w:val="007841F7"/>
    <w:rsid w:val="00785F4E"/>
    <w:rsid w:val="00786C6B"/>
    <w:rsid w:val="007901B7"/>
    <w:rsid w:val="007A3268"/>
    <w:rsid w:val="007A52F1"/>
    <w:rsid w:val="007A5794"/>
    <w:rsid w:val="007B2811"/>
    <w:rsid w:val="007B3C2B"/>
    <w:rsid w:val="007B4CE4"/>
    <w:rsid w:val="007C08C9"/>
    <w:rsid w:val="007C4619"/>
    <w:rsid w:val="007C6711"/>
    <w:rsid w:val="007C7092"/>
    <w:rsid w:val="007C77BB"/>
    <w:rsid w:val="007D1357"/>
    <w:rsid w:val="007D2354"/>
    <w:rsid w:val="007D491C"/>
    <w:rsid w:val="007D7FB7"/>
    <w:rsid w:val="007E1B91"/>
    <w:rsid w:val="007E3243"/>
    <w:rsid w:val="007E47C8"/>
    <w:rsid w:val="007E5F73"/>
    <w:rsid w:val="007E6178"/>
    <w:rsid w:val="007E7948"/>
    <w:rsid w:val="007F69CB"/>
    <w:rsid w:val="0080129A"/>
    <w:rsid w:val="00802F87"/>
    <w:rsid w:val="008049D8"/>
    <w:rsid w:val="00806938"/>
    <w:rsid w:val="008126DE"/>
    <w:rsid w:val="00812733"/>
    <w:rsid w:val="00812BC5"/>
    <w:rsid w:val="00815F16"/>
    <w:rsid w:val="00817B7D"/>
    <w:rsid w:val="0082154D"/>
    <w:rsid w:val="0082284F"/>
    <w:rsid w:val="00832F4D"/>
    <w:rsid w:val="00833D05"/>
    <w:rsid w:val="00835EDD"/>
    <w:rsid w:val="0083634B"/>
    <w:rsid w:val="00844805"/>
    <w:rsid w:val="008457BA"/>
    <w:rsid w:val="00845B45"/>
    <w:rsid w:val="00851109"/>
    <w:rsid w:val="00853931"/>
    <w:rsid w:val="00854CD3"/>
    <w:rsid w:val="008552A4"/>
    <w:rsid w:val="0085636D"/>
    <w:rsid w:val="008565D7"/>
    <w:rsid w:val="00856C44"/>
    <w:rsid w:val="00864500"/>
    <w:rsid w:val="00871E25"/>
    <w:rsid w:val="00873CB1"/>
    <w:rsid w:val="00874EB7"/>
    <w:rsid w:val="0087524E"/>
    <w:rsid w:val="00876DF3"/>
    <w:rsid w:val="00880358"/>
    <w:rsid w:val="00886164"/>
    <w:rsid w:val="008865B3"/>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425E"/>
    <w:rsid w:val="009065C2"/>
    <w:rsid w:val="00911CC9"/>
    <w:rsid w:val="009128A2"/>
    <w:rsid w:val="00913B26"/>
    <w:rsid w:val="0091421E"/>
    <w:rsid w:val="00914BEA"/>
    <w:rsid w:val="00920866"/>
    <w:rsid w:val="00921481"/>
    <w:rsid w:val="0092760E"/>
    <w:rsid w:val="00930258"/>
    <w:rsid w:val="009304CA"/>
    <w:rsid w:val="00940279"/>
    <w:rsid w:val="009515D6"/>
    <w:rsid w:val="00952726"/>
    <w:rsid w:val="00954C3D"/>
    <w:rsid w:val="009551B9"/>
    <w:rsid w:val="009641A1"/>
    <w:rsid w:val="00964FB6"/>
    <w:rsid w:val="00970BE0"/>
    <w:rsid w:val="0097162A"/>
    <w:rsid w:val="009835C0"/>
    <w:rsid w:val="00987A59"/>
    <w:rsid w:val="009900AE"/>
    <w:rsid w:val="0099062C"/>
    <w:rsid w:val="00992422"/>
    <w:rsid w:val="0099662E"/>
    <w:rsid w:val="00996897"/>
    <w:rsid w:val="00997871"/>
    <w:rsid w:val="009A06DC"/>
    <w:rsid w:val="009A4906"/>
    <w:rsid w:val="009B1B8D"/>
    <w:rsid w:val="009B49B2"/>
    <w:rsid w:val="009B4CF3"/>
    <w:rsid w:val="009C7478"/>
    <w:rsid w:val="009D00DA"/>
    <w:rsid w:val="009D57BD"/>
    <w:rsid w:val="009D7241"/>
    <w:rsid w:val="009D727D"/>
    <w:rsid w:val="009D7C6D"/>
    <w:rsid w:val="009D7E5C"/>
    <w:rsid w:val="009E154D"/>
    <w:rsid w:val="009E188B"/>
    <w:rsid w:val="009E4453"/>
    <w:rsid w:val="009E5722"/>
    <w:rsid w:val="009E5FE4"/>
    <w:rsid w:val="009E68D7"/>
    <w:rsid w:val="009E6B36"/>
    <w:rsid w:val="009E78AC"/>
    <w:rsid w:val="009F0584"/>
    <w:rsid w:val="009F5F85"/>
    <w:rsid w:val="009F61A2"/>
    <w:rsid w:val="009F6759"/>
    <w:rsid w:val="00A00AA0"/>
    <w:rsid w:val="00A016D1"/>
    <w:rsid w:val="00A03B8C"/>
    <w:rsid w:val="00A07177"/>
    <w:rsid w:val="00A14901"/>
    <w:rsid w:val="00A14A9C"/>
    <w:rsid w:val="00A1558A"/>
    <w:rsid w:val="00A17D3B"/>
    <w:rsid w:val="00A21275"/>
    <w:rsid w:val="00A22B8C"/>
    <w:rsid w:val="00A25D67"/>
    <w:rsid w:val="00A26DF1"/>
    <w:rsid w:val="00A30F22"/>
    <w:rsid w:val="00A3162E"/>
    <w:rsid w:val="00A34592"/>
    <w:rsid w:val="00A41DF3"/>
    <w:rsid w:val="00A43DBE"/>
    <w:rsid w:val="00A44EE3"/>
    <w:rsid w:val="00A44F4E"/>
    <w:rsid w:val="00A474F6"/>
    <w:rsid w:val="00A520E9"/>
    <w:rsid w:val="00A53C79"/>
    <w:rsid w:val="00A53F1B"/>
    <w:rsid w:val="00A578C5"/>
    <w:rsid w:val="00A60164"/>
    <w:rsid w:val="00A602E5"/>
    <w:rsid w:val="00A62234"/>
    <w:rsid w:val="00A62CFE"/>
    <w:rsid w:val="00A72ACD"/>
    <w:rsid w:val="00A748DB"/>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447D"/>
    <w:rsid w:val="00AD5D53"/>
    <w:rsid w:val="00AD769C"/>
    <w:rsid w:val="00AD7910"/>
    <w:rsid w:val="00AE4249"/>
    <w:rsid w:val="00AE720B"/>
    <w:rsid w:val="00AF1235"/>
    <w:rsid w:val="00AF3E84"/>
    <w:rsid w:val="00AF7D33"/>
    <w:rsid w:val="00B01089"/>
    <w:rsid w:val="00B01215"/>
    <w:rsid w:val="00B01808"/>
    <w:rsid w:val="00B02A81"/>
    <w:rsid w:val="00B045F9"/>
    <w:rsid w:val="00B11980"/>
    <w:rsid w:val="00B13FA8"/>
    <w:rsid w:val="00B20BE0"/>
    <w:rsid w:val="00B221A4"/>
    <w:rsid w:val="00B3164C"/>
    <w:rsid w:val="00B31B74"/>
    <w:rsid w:val="00B33B41"/>
    <w:rsid w:val="00B34495"/>
    <w:rsid w:val="00B3522A"/>
    <w:rsid w:val="00B410B8"/>
    <w:rsid w:val="00B410FE"/>
    <w:rsid w:val="00B41770"/>
    <w:rsid w:val="00B42504"/>
    <w:rsid w:val="00B430D0"/>
    <w:rsid w:val="00B4398B"/>
    <w:rsid w:val="00B44377"/>
    <w:rsid w:val="00B450B8"/>
    <w:rsid w:val="00B51907"/>
    <w:rsid w:val="00B53610"/>
    <w:rsid w:val="00B54A69"/>
    <w:rsid w:val="00B62DB1"/>
    <w:rsid w:val="00B63D95"/>
    <w:rsid w:val="00B644F5"/>
    <w:rsid w:val="00B71DEC"/>
    <w:rsid w:val="00B767F9"/>
    <w:rsid w:val="00B84A48"/>
    <w:rsid w:val="00B84B6E"/>
    <w:rsid w:val="00B863BF"/>
    <w:rsid w:val="00B87A70"/>
    <w:rsid w:val="00B91E3C"/>
    <w:rsid w:val="00B922EC"/>
    <w:rsid w:val="00BA084C"/>
    <w:rsid w:val="00BA2102"/>
    <w:rsid w:val="00BA488C"/>
    <w:rsid w:val="00BA7296"/>
    <w:rsid w:val="00BB0F4E"/>
    <w:rsid w:val="00BB2CF3"/>
    <w:rsid w:val="00BB4D77"/>
    <w:rsid w:val="00BB597D"/>
    <w:rsid w:val="00BC40E5"/>
    <w:rsid w:val="00BC4656"/>
    <w:rsid w:val="00BC4DF4"/>
    <w:rsid w:val="00BC4F1F"/>
    <w:rsid w:val="00BC6186"/>
    <w:rsid w:val="00BC6B48"/>
    <w:rsid w:val="00BD12EC"/>
    <w:rsid w:val="00BD15D0"/>
    <w:rsid w:val="00BD16DE"/>
    <w:rsid w:val="00BD201A"/>
    <w:rsid w:val="00BD4332"/>
    <w:rsid w:val="00BD4615"/>
    <w:rsid w:val="00BE0188"/>
    <w:rsid w:val="00BE0CCF"/>
    <w:rsid w:val="00BE4CB2"/>
    <w:rsid w:val="00BE7342"/>
    <w:rsid w:val="00BF10A5"/>
    <w:rsid w:val="00C03FFF"/>
    <w:rsid w:val="00C053B8"/>
    <w:rsid w:val="00C05763"/>
    <w:rsid w:val="00C059CA"/>
    <w:rsid w:val="00C0665A"/>
    <w:rsid w:val="00C073FA"/>
    <w:rsid w:val="00C07A21"/>
    <w:rsid w:val="00C138B6"/>
    <w:rsid w:val="00C15DA0"/>
    <w:rsid w:val="00C21DE3"/>
    <w:rsid w:val="00C2645A"/>
    <w:rsid w:val="00C27575"/>
    <w:rsid w:val="00C36618"/>
    <w:rsid w:val="00C43DEE"/>
    <w:rsid w:val="00C44A46"/>
    <w:rsid w:val="00C51DFD"/>
    <w:rsid w:val="00C5434A"/>
    <w:rsid w:val="00C54AC1"/>
    <w:rsid w:val="00C60C2D"/>
    <w:rsid w:val="00C611B9"/>
    <w:rsid w:val="00C64CBE"/>
    <w:rsid w:val="00C66BC6"/>
    <w:rsid w:val="00C77F60"/>
    <w:rsid w:val="00C825FB"/>
    <w:rsid w:val="00C82D66"/>
    <w:rsid w:val="00C84D7B"/>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C7F42"/>
    <w:rsid w:val="00CD3762"/>
    <w:rsid w:val="00CD4E4C"/>
    <w:rsid w:val="00CE43A1"/>
    <w:rsid w:val="00CE63CE"/>
    <w:rsid w:val="00CE6AE5"/>
    <w:rsid w:val="00CF15DF"/>
    <w:rsid w:val="00CF2304"/>
    <w:rsid w:val="00CF4F19"/>
    <w:rsid w:val="00D01257"/>
    <w:rsid w:val="00D046FC"/>
    <w:rsid w:val="00D055EA"/>
    <w:rsid w:val="00D10D20"/>
    <w:rsid w:val="00D130A3"/>
    <w:rsid w:val="00D1330F"/>
    <w:rsid w:val="00D17C3A"/>
    <w:rsid w:val="00D17E95"/>
    <w:rsid w:val="00D2070B"/>
    <w:rsid w:val="00D24CBB"/>
    <w:rsid w:val="00D26EBF"/>
    <w:rsid w:val="00D36886"/>
    <w:rsid w:val="00D37A93"/>
    <w:rsid w:val="00D43DEF"/>
    <w:rsid w:val="00D443A6"/>
    <w:rsid w:val="00D44ECD"/>
    <w:rsid w:val="00D4742B"/>
    <w:rsid w:val="00D47E20"/>
    <w:rsid w:val="00D50DE7"/>
    <w:rsid w:val="00D51939"/>
    <w:rsid w:val="00D5266F"/>
    <w:rsid w:val="00D528E2"/>
    <w:rsid w:val="00D53128"/>
    <w:rsid w:val="00D531AE"/>
    <w:rsid w:val="00D53992"/>
    <w:rsid w:val="00D54C02"/>
    <w:rsid w:val="00D5579D"/>
    <w:rsid w:val="00D578F6"/>
    <w:rsid w:val="00D57FA0"/>
    <w:rsid w:val="00D604B3"/>
    <w:rsid w:val="00D6716B"/>
    <w:rsid w:val="00D701E5"/>
    <w:rsid w:val="00D71BE4"/>
    <w:rsid w:val="00D7311A"/>
    <w:rsid w:val="00D731AF"/>
    <w:rsid w:val="00D75DCD"/>
    <w:rsid w:val="00D76249"/>
    <w:rsid w:val="00D76C39"/>
    <w:rsid w:val="00D806D5"/>
    <w:rsid w:val="00D83917"/>
    <w:rsid w:val="00D87541"/>
    <w:rsid w:val="00D87572"/>
    <w:rsid w:val="00D91540"/>
    <w:rsid w:val="00D924F5"/>
    <w:rsid w:val="00D92E72"/>
    <w:rsid w:val="00D95495"/>
    <w:rsid w:val="00D96901"/>
    <w:rsid w:val="00D97333"/>
    <w:rsid w:val="00DA2149"/>
    <w:rsid w:val="00DA23C7"/>
    <w:rsid w:val="00DA4193"/>
    <w:rsid w:val="00DA5569"/>
    <w:rsid w:val="00DB3661"/>
    <w:rsid w:val="00DB7245"/>
    <w:rsid w:val="00DC0856"/>
    <w:rsid w:val="00DC3DC2"/>
    <w:rsid w:val="00DD0899"/>
    <w:rsid w:val="00DD6284"/>
    <w:rsid w:val="00DE2948"/>
    <w:rsid w:val="00DF1E88"/>
    <w:rsid w:val="00DF6316"/>
    <w:rsid w:val="00E01274"/>
    <w:rsid w:val="00E03C0F"/>
    <w:rsid w:val="00E05A3E"/>
    <w:rsid w:val="00E07622"/>
    <w:rsid w:val="00E14F11"/>
    <w:rsid w:val="00E1646C"/>
    <w:rsid w:val="00E25EBE"/>
    <w:rsid w:val="00E26A1D"/>
    <w:rsid w:val="00E31CB9"/>
    <w:rsid w:val="00E32439"/>
    <w:rsid w:val="00E346E5"/>
    <w:rsid w:val="00E36B9E"/>
    <w:rsid w:val="00E36D8A"/>
    <w:rsid w:val="00E4278A"/>
    <w:rsid w:val="00E45285"/>
    <w:rsid w:val="00E462E1"/>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909A5"/>
    <w:rsid w:val="00E91837"/>
    <w:rsid w:val="00E95890"/>
    <w:rsid w:val="00EA070B"/>
    <w:rsid w:val="00EA070F"/>
    <w:rsid w:val="00EA14F6"/>
    <w:rsid w:val="00EA16DF"/>
    <w:rsid w:val="00EA1D29"/>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6698"/>
    <w:rsid w:val="00F100A6"/>
    <w:rsid w:val="00F12BE5"/>
    <w:rsid w:val="00F1363C"/>
    <w:rsid w:val="00F17AF5"/>
    <w:rsid w:val="00F24242"/>
    <w:rsid w:val="00F255C1"/>
    <w:rsid w:val="00F257D8"/>
    <w:rsid w:val="00F2763F"/>
    <w:rsid w:val="00F27B30"/>
    <w:rsid w:val="00F30F54"/>
    <w:rsid w:val="00F31A6A"/>
    <w:rsid w:val="00F33190"/>
    <w:rsid w:val="00F3703E"/>
    <w:rsid w:val="00F42D9C"/>
    <w:rsid w:val="00F474ED"/>
    <w:rsid w:val="00F52A14"/>
    <w:rsid w:val="00F52B10"/>
    <w:rsid w:val="00F52EC0"/>
    <w:rsid w:val="00F56EB6"/>
    <w:rsid w:val="00F61F10"/>
    <w:rsid w:val="00F632DE"/>
    <w:rsid w:val="00F705A2"/>
    <w:rsid w:val="00F70E01"/>
    <w:rsid w:val="00F70F8B"/>
    <w:rsid w:val="00F726EF"/>
    <w:rsid w:val="00F72B4D"/>
    <w:rsid w:val="00F751A3"/>
    <w:rsid w:val="00F75529"/>
    <w:rsid w:val="00F76527"/>
    <w:rsid w:val="00F765BD"/>
    <w:rsid w:val="00F844F3"/>
    <w:rsid w:val="00F85843"/>
    <w:rsid w:val="00F86E3A"/>
    <w:rsid w:val="00F91C21"/>
    <w:rsid w:val="00F93C37"/>
    <w:rsid w:val="00F93D91"/>
    <w:rsid w:val="00F9624B"/>
    <w:rsid w:val="00FA0263"/>
    <w:rsid w:val="00FA0E41"/>
    <w:rsid w:val="00FA2CC9"/>
    <w:rsid w:val="00FA2E3A"/>
    <w:rsid w:val="00FA52DE"/>
    <w:rsid w:val="00FB0C2F"/>
    <w:rsid w:val="00FC3380"/>
    <w:rsid w:val="00FC3BF8"/>
    <w:rsid w:val="00FC49ED"/>
    <w:rsid w:val="00FD3C58"/>
    <w:rsid w:val="00FE0BB9"/>
    <w:rsid w:val="00FE1972"/>
    <w:rsid w:val="00FE2272"/>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7981571"/>
    <w:rsid w:val="07E9330A"/>
    <w:rsid w:val="0864633E"/>
    <w:rsid w:val="0D553C9E"/>
    <w:rsid w:val="0F804166"/>
    <w:rsid w:val="13BB5E2E"/>
    <w:rsid w:val="140C0F0C"/>
    <w:rsid w:val="1F280D22"/>
    <w:rsid w:val="22045B8B"/>
    <w:rsid w:val="26B63FCE"/>
    <w:rsid w:val="2DBE739F"/>
    <w:rsid w:val="2F4C548B"/>
    <w:rsid w:val="365D6E51"/>
    <w:rsid w:val="40ED5904"/>
    <w:rsid w:val="412565CE"/>
    <w:rsid w:val="4164275E"/>
    <w:rsid w:val="42365EEC"/>
    <w:rsid w:val="46515D77"/>
    <w:rsid w:val="4D3B3A6F"/>
    <w:rsid w:val="4D92274A"/>
    <w:rsid w:val="4F5240CF"/>
    <w:rsid w:val="576D598A"/>
    <w:rsid w:val="5A8825DE"/>
    <w:rsid w:val="5EB51807"/>
    <w:rsid w:val="61775927"/>
    <w:rsid w:val="64F34B40"/>
    <w:rsid w:val="65367856"/>
    <w:rsid w:val="68345D72"/>
    <w:rsid w:val="6AA94B21"/>
    <w:rsid w:val="6B224DC8"/>
    <w:rsid w:val="6F6E78E6"/>
    <w:rsid w:val="703A26A3"/>
    <w:rsid w:val="72EC1A6D"/>
    <w:rsid w:val="7C40286D"/>
    <w:rsid w:val="7EC171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link w:val="37"/>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link w:val="38"/>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5">
    <w:name w:val="heading 4"/>
    <w:basedOn w:val="1"/>
    <w:next w:val="1"/>
    <w:link w:val="40"/>
    <w:unhideWhenUsed/>
    <w:qFormat/>
    <w:uiPriority w:val="9"/>
    <w:pPr>
      <w:keepNext/>
      <w:keepLines/>
      <w:tabs>
        <w:tab w:val="left" w:pos="1470"/>
      </w:tabs>
      <w:ind w:left="450" w:leftChars="450"/>
      <w:outlineLvl w:val="3"/>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qFormat/>
    <w:uiPriority w:val="99"/>
    <w:pPr>
      <w:jc w:val="left"/>
    </w:pPr>
  </w:style>
  <w:style w:type="paragraph" w:styleId="7">
    <w:name w:val="Balloon Text"/>
    <w:basedOn w:val="1"/>
    <w:link w:val="28"/>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35"/>
    <w:qFormat/>
    <w:uiPriority w:val="0"/>
    <w:pPr>
      <w:tabs>
        <w:tab w:val="left" w:pos="945"/>
      </w:tabs>
      <w:spacing w:before="25" w:beforeLines="25"/>
      <w:outlineLvl w:val="2"/>
    </w:pPr>
    <w:rPr>
      <w:rFonts w:asciiTheme="minorEastAsia" w:hAnsiTheme="minorEastAsia" w:eastAsiaTheme="minorEastAsia" w:cstheme="minorEastAsia"/>
      <w:b/>
      <w:bCs/>
      <w:kern w:val="28"/>
      <w:szCs w:val="21"/>
    </w:rPr>
  </w:style>
  <w:style w:type="paragraph" w:styleId="11">
    <w:name w:val="footnote text"/>
    <w:basedOn w:val="1"/>
    <w:link w:val="39"/>
    <w:semiHidden/>
    <w:unhideWhenUsed/>
    <w:qFormat/>
    <w:uiPriority w:val="99"/>
    <w:pPr>
      <w:snapToGrid w:val="0"/>
      <w:jc w:val="left"/>
    </w:pPr>
    <w:rPr>
      <w:sz w:val="18"/>
      <w:szCs w:val="18"/>
    </w:rPr>
  </w:style>
  <w:style w:type="paragraph" w:styleId="12">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Title"/>
    <w:basedOn w:val="1"/>
    <w:next w:val="1"/>
    <w:link w:val="25"/>
    <w:qFormat/>
    <w:uiPriority w:val="0"/>
    <w:pPr>
      <w:tabs>
        <w:tab w:val="left" w:pos="945"/>
      </w:tabs>
      <w:spacing w:before="25" w:beforeLines="25"/>
      <w:jc w:val="left"/>
      <w:outlineLvl w:val="1"/>
    </w:pPr>
    <w:rPr>
      <w:rFonts w:asciiTheme="minorEastAsia" w:hAnsiTheme="minorEastAsia" w:eastAsiaTheme="minorEastAsia" w:cstheme="minorEastAsia"/>
      <w:b/>
      <w:color w:val="000000" w:themeColor="text1"/>
      <w:szCs w:val="21"/>
      <w14:textFill>
        <w14:solidFill>
          <w14:schemeClr w14:val="tx1"/>
        </w14:solidFill>
      </w14:textFill>
    </w:rPr>
  </w:style>
  <w:style w:type="paragraph" w:styleId="14">
    <w:name w:val="annotation subject"/>
    <w:basedOn w:val="6"/>
    <w:next w:val="6"/>
    <w:link w:val="30"/>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qFormat/>
    <w:uiPriority w:val="99"/>
    <w:rPr>
      <w:sz w:val="21"/>
      <w:szCs w:val="21"/>
    </w:rPr>
  </w:style>
  <w:style w:type="character" w:styleId="22">
    <w:name w:val="footnote reference"/>
    <w:basedOn w:val="17"/>
    <w:semiHidden/>
    <w:unhideWhenUsed/>
    <w:qFormat/>
    <w:uiPriority w:val="99"/>
    <w:rPr>
      <w:vertAlign w:val="superscript"/>
    </w:rPr>
  </w:style>
  <w:style w:type="character" w:customStyle="1" w:styleId="23">
    <w:name w:val="页脚 Char"/>
    <w:basedOn w:val="17"/>
    <w:link w:val="8"/>
    <w:qFormat/>
    <w:uiPriority w:val="99"/>
    <w:rPr>
      <w:rFonts w:ascii="Times New Roman" w:hAnsi="Times New Roman" w:eastAsia="宋体" w:cs="Times New Roman"/>
      <w:sz w:val="18"/>
      <w:szCs w:val="18"/>
    </w:rPr>
  </w:style>
  <w:style w:type="character" w:customStyle="1" w:styleId="24">
    <w:name w:val="批注文字 Char"/>
    <w:basedOn w:val="17"/>
    <w:link w:val="6"/>
    <w:qFormat/>
    <w:uiPriority w:val="99"/>
    <w:rPr>
      <w:rFonts w:ascii="Times New Roman" w:hAnsi="Times New Roman" w:eastAsia="宋体" w:cs="Times New Roman"/>
      <w:szCs w:val="24"/>
    </w:rPr>
  </w:style>
  <w:style w:type="character" w:customStyle="1" w:styleId="25">
    <w:name w:val="标题 Char"/>
    <w:basedOn w:val="17"/>
    <w:link w:val="13"/>
    <w:qFormat/>
    <w:uiPriority w:val="0"/>
    <w:rPr>
      <w:rFonts w:asciiTheme="minorEastAsia" w:hAnsiTheme="minorEastAsia" w:cstheme="minorEastAsia"/>
      <w:b/>
      <w:color w:val="000000" w:themeColor="text1"/>
      <w:szCs w:val="21"/>
      <w14:textFill>
        <w14:solidFill>
          <w14:schemeClr w14:val="tx1"/>
        </w14:solidFill>
      </w14:textFill>
    </w:rPr>
  </w:style>
  <w:style w:type="paragraph" w:customStyle="1" w:styleId="26">
    <w:name w:val="条款正文"/>
    <w:basedOn w:val="1"/>
    <w:link w:val="36"/>
    <w:qFormat/>
    <w:uiPriority w:val="0"/>
    <w:pPr>
      <w:adjustRightInd w:val="0"/>
      <w:snapToGrid w:val="0"/>
      <w:ind w:left="840" w:leftChars="400" w:firstLine="420" w:firstLineChars="200"/>
    </w:pPr>
    <w:rPr>
      <w:szCs w:val="20"/>
    </w:rPr>
  </w:style>
  <w:style w:type="paragraph" w:customStyle="1" w:styleId="27">
    <w:name w:val="1级"/>
    <w:basedOn w:val="26"/>
    <w:qFormat/>
    <w:uiPriority w:val="0"/>
    <w:pPr>
      <w:tabs>
        <w:tab w:val="left" w:pos="945"/>
      </w:tabs>
      <w:spacing w:before="50" w:beforeLines="50"/>
      <w:ind w:left="0" w:leftChars="0" w:firstLine="0" w:firstLineChars="0"/>
      <w:outlineLvl w:val="0"/>
    </w:pPr>
    <w:rPr>
      <w:rFonts w:asciiTheme="minorEastAsia" w:hAnsiTheme="minorEastAsia" w:eastAsiaTheme="minorEastAsia" w:cstheme="minorEastAsia"/>
      <w:b/>
      <w:color w:val="000000" w:themeColor="text1"/>
      <w:szCs w:val="21"/>
      <w14:textFill>
        <w14:solidFill>
          <w14:schemeClr w14:val="tx1"/>
        </w14:solidFill>
      </w14:textFill>
    </w:rPr>
  </w:style>
  <w:style w:type="character" w:customStyle="1" w:styleId="28">
    <w:name w:val="批注框文本 Char"/>
    <w:basedOn w:val="17"/>
    <w:link w:val="7"/>
    <w:semiHidden/>
    <w:qFormat/>
    <w:uiPriority w:val="99"/>
    <w:rPr>
      <w:rFonts w:ascii="Times New Roman" w:hAnsi="Times New Roman" w:eastAsia="宋体" w:cs="Times New Roman"/>
      <w:sz w:val="18"/>
      <w:szCs w:val="18"/>
    </w:rPr>
  </w:style>
  <w:style w:type="character" w:customStyle="1" w:styleId="29">
    <w:name w:val="页眉 Char"/>
    <w:basedOn w:val="17"/>
    <w:link w:val="9"/>
    <w:qFormat/>
    <w:uiPriority w:val="99"/>
    <w:rPr>
      <w:rFonts w:ascii="Times New Roman" w:hAnsi="Times New Roman" w:eastAsia="宋体" w:cs="Times New Roman"/>
      <w:sz w:val="18"/>
      <w:szCs w:val="18"/>
    </w:rPr>
  </w:style>
  <w:style w:type="character" w:customStyle="1" w:styleId="30">
    <w:name w:val="批注主题 Char"/>
    <w:basedOn w:val="24"/>
    <w:link w:val="14"/>
    <w:semiHidden/>
    <w:qFormat/>
    <w:uiPriority w:val="99"/>
    <w:rPr>
      <w:rFonts w:ascii="Times New Roman" w:hAnsi="Times New Roman" w:eastAsia="宋体" w:cs="Times New Roman"/>
      <w:b/>
      <w:bCs/>
      <w:szCs w:val="24"/>
    </w:rPr>
  </w:style>
  <w:style w:type="paragraph" w:customStyle="1" w:styleId="31">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paragraph" w:customStyle="1" w:styleId="32">
    <w:name w:val="Revision"/>
    <w:hidden/>
    <w:semiHidden/>
    <w:qFormat/>
    <w:uiPriority w:val="99"/>
    <w:rPr>
      <w:rFonts w:ascii="Times New Roman" w:hAnsi="Times New Roman" w:eastAsia="宋体" w:cs="Times New Roman"/>
      <w:kern w:val="2"/>
      <w:sz w:val="21"/>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17"/>
    <w:link w:val="2"/>
    <w:qFormat/>
    <w:uiPriority w:val="9"/>
    <w:rPr>
      <w:rFonts w:asciiTheme="minorEastAsia" w:hAnsiTheme="minorEastAsia" w:cstheme="minorEastAsia"/>
      <w:b/>
      <w:bCs/>
      <w:kern w:val="44"/>
      <w:szCs w:val="21"/>
    </w:rPr>
  </w:style>
  <w:style w:type="character" w:customStyle="1" w:styleId="35">
    <w:name w:val="副标题 Char"/>
    <w:basedOn w:val="17"/>
    <w:link w:val="10"/>
    <w:qFormat/>
    <w:uiPriority w:val="0"/>
    <w:rPr>
      <w:rFonts w:asciiTheme="minorEastAsia" w:hAnsiTheme="minorEastAsia" w:cstheme="minorEastAsia"/>
      <w:b/>
      <w:bCs/>
      <w:kern w:val="28"/>
      <w:szCs w:val="21"/>
    </w:rPr>
  </w:style>
  <w:style w:type="character" w:customStyle="1" w:styleId="36">
    <w:name w:val="条款正文 字符"/>
    <w:link w:val="26"/>
    <w:qFormat/>
    <w:uiPriority w:val="0"/>
    <w:rPr>
      <w:rFonts w:ascii="Times New Roman" w:hAnsi="Times New Roman" w:eastAsia="宋体" w:cs="Times New Roman"/>
      <w:szCs w:val="20"/>
    </w:rPr>
  </w:style>
  <w:style w:type="character" w:customStyle="1" w:styleId="37">
    <w:name w:val="标题 2 Char"/>
    <w:basedOn w:val="17"/>
    <w:link w:val="3"/>
    <w:qFormat/>
    <w:uiPriority w:val="0"/>
    <w:rPr>
      <w:rFonts w:asciiTheme="minorEastAsia" w:hAnsiTheme="minorEastAsia" w:cstheme="minorEastAsia"/>
      <w:b/>
      <w:bCs/>
      <w:color w:val="000000" w:themeColor="text1"/>
      <w:szCs w:val="21"/>
      <w14:textFill>
        <w14:solidFill>
          <w14:schemeClr w14:val="tx1"/>
        </w14:solidFill>
      </w14:textFill>
    </w:rPr>
  </w:style>
  <w:style w:type="character" w:customStyle="1" w:styleId="38">
    <w:name w:val="标题 3 Char"/>
    <w:basedOn w:val="17"/>
    <w:link w:val="4"/>
    <w:qFormat/>
    <w:uiPriority w:val="9"/>
    <w:rPr>
      <w:rFonts w:asciiTheme="minorEastAsia" w:hAnsiTheme="minorEastAsia" w:cstheme="minorEastAsia"/>
      <w:b/>
      <w:bCs/>
      <w:color w:val="000000" w:themeColor="text1"/>
      <w:szCs w:val="21"/>
      <w14:textFill>
        <w14:solidFill>
          <w14:schemeClr w14:val="tx1"/>
        </w14:solidFill>
      </w14:textFill>
    </w:rPr>
  </w:style>
  <w:style w:type="character" w:customStyle="1" w:styleId="39">
    <w:name w:val="脚注文本 Char"/>
    <w:basedOn w:val="17"/>
    <w:link w:val="11"/>
    <w:semiHidden/>
    <w:qFormat/>
    <w:uiPriority w:val="99"/>
    <w:rPr>
      <w:rFonts w:ascii="Times New Roman" w:hAnsi="Times New Roman" w:eastAsia="宋体" w:cs="Times New Roman"/>
      <w:sz w:val="18"/>
      <w:szCs w:val="18"/>
    </w:rPr>
  </w:style>
  <w:style w:type="character" w:customStyle="1" w:styleId="40">
    <w:name w:val="标题 4 Char"/>
    <w:basedOn w:val="17"/>
    <w:link w:val="5"/>
    <w:qFormat/>
    <w:uiPriority w:val="9"/>
    <w:rPr>
      <w:rFonts w:asciiTheme="minorEastAsia" w:hAnsiTheme="minorEastAsia" w:cstheme="minorEastAsia"/>
      <w:b/>
      <w:bCs/>
      <w:color w:val="000000" w:themeColor="text1"/>
      <w:szCs w:val="21"/>
      <w14:textFill>
        <w14:solidFill>
          <w14:schemeClr w14:val="tx1"/>
        </w14:solidFill>
      </w14:textFill>
    </w:rPr>
  </w:style>
  <w:style w:type="paragraph" w:customStyle="1" w:styleId="41">
    <w:name w:val="列出段落1"/>
    <w:basedOn w:val="1"/>
    <w:qFormat/>
    <w:uiPriority w:val="34"/>
    <w:pPr>
      <w:spacing w:beforeLines="25"/>
      <w:ind w:firstLine="420" w:firstLineChars="200"/>
    </w:pPr>
  </w:style>
  <w:style w:type="paragraph" w:customStyle="1" w:styleId="42">
    <w:name w:val="的"/>
    <w:basedOn w:val="1"/>
    <w:qFormat/>
    <w:uiPriority w:val="0"/>
    <w:pPr>
      <w:tabs>
        <w:tab w:val="left" w:pos="840"/>
      </w:tabs>
      <w:adjustRightInd w:val="0"/>
      <w:snapToGrid w:val="0"/>
      <w:spacing w:line="0" w:lineRule="atLeast"/>
    </w:pPr>
    <w:rPr>
      <w:rFonts w:ascii="宋体" w:hAnsi="宋体" w:cs="宋体"/>
      <w:b/>
      <w:szCs w:val="21"/>
    </w:rPr>
  </w:style>
  <w:style w:type="character" w:customStyle="1" w:styleId="43">
    <w:name w:val="HTML 预设格式 Char"/>
    <w:basedOn w:val="17"/>
    <w:link w:val="12"/>
    <w:qFormat/>
    <w:uiPriority w:val="99"/>
    <w:rPr>
      <w:rFonts w:ascii="宋体" w:hAnsi="宋体" w:eastAsia="宋体" w:cs="宋体"/>
      <w:kern w:val="0"/>
      <w:sz w:val="24"/>
      <w:szCs w:val="24"/>
    </w:rPr>
  </w:style>
  <w:style w:type="paragraph" w:customStyle="1" w:styleId="44">
    <w:name w:val="条款标题"/>
    <w:basedOn w:val="26"/>
    <w:qFormat/>
    <w:uiPriority w:val="0"/>
    <w:pPr>
      <w:tabs>
        <w:tab w:val="left" w:pos="840"/>
      </w:tabs>
      <w:ind w:left="0" w:leftChars="0" w:firstLine="0" w:firstLineChars="0"/>
    </w:pPr>
    <w:rPr>
      <w:b/>
    </w:rPr>
  </w:style>
  <w:style w:type="paragraph" w:customStyle="1" w:styleId="45">
    <w:name w:val="a"/>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05576-A0CC-4CDC-830D-43C5EEECFAA4}">
  <ds:schemaRefs/>
</ds:datastoreItem>
</file>

<file path=docProps/app.xml><?xml version="1.0" encoding="utf-8"?>
<Properties xmlns="http://schemas.openxmlformats.org/officeDocument/2006/extended-properties" xmlns:vt="http://schemas.openxmlformats.org/officeDocument/2006/docPropsVTypes">
  <Template>Normal.dotm</Template>
  <Company>American International Group</Company>
  <Pages>7</Pages>
  <Words>1208</Words>
  <Characters>6889</Characters>
  <Lines>57</Lines>
  <Paragraphs>16</Paragraphs>
  <TotalTime>10</TotalTime>
  <ScaleCrop>false</ScaleCrop>
  <LinksUpToDate>false</LinksUpToDate>
  <CharactersWithSpaces>8081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2021-11-05T01:48:00Z</dcterms:created>
  <dc:creator>TANGNJ</dc:creator>
  <cp:lastModifiedBy>yanglei41</cp:lastModifiedBy>
  <cp:lastPrinted>2019-12-02T09:48:00Z</cp:lastPrinted>
  <dcterms:modified xsi:type="dcterms:W3CDTF">2021-12-23T09:17:33Z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